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BA25" w14:textId="77777777" w:rsidR="00087872" w:rsidRDefault="00256B13">
      <w:bookmarkStart w:id="0" w:name="_Hlk108088066"/>
      <w:bookmarkEnd w:id="0"/>
      <w:r>
        <w:rPr>
          <w:noProof/>
        </w:rPr>
        <w:drawing>
          <wp:inline distT="0" distB="0" distL="0" distR="0" wp14:anchorId="1B71BB59" wp14:editId="752D0A27">
            <wp:extent cx="5024120" cy="2067560"/>
            <wp:effectExtent l="0" t="0" r="0" b="0"/>
            <wp:docPr id="1" name="Picture 1" descr="vienkarss_pilnkrasu_rgb_h_38_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enkarss_pilnkrasu_rgb_h_38_MO"/>
                    <pic:cNvPicPr>
                      <a:picLocks noChangeAspect="1" noChangeArrowheads="1"/>
                    </pic:cNvPicPr>
                  </pic:nvPicPr>
                  <pic:blipFill>
                    <a:blip r:embed="rId8"/>
                    <a:stretch>
                      <a:fillRect/>
                    </a:stretch>
                  </pic:blipFill>
                  <pic:spPr bwMode="auto">
                    <a:xfrm>
                      <a:off x="0" y="0"/>
                      <a:ext cx="5024120" cy="2067560"/>
                    </a:xfrm>
                    <a:prstGeom prst="rect">
                      <a:avLst/>
                    </a:prstGeom>
                  </pic:spPr>
                </pic:pic>
              </a:graphicData>
            </a:graphic>
          </wp:inline>
        </w:drawing>
      </w:r>
    </w:p>
    <w:tbl>
      <w:tblPr>
        <w:tblpPr w:leftFromText="187" w:rightFromText="187" w:vertAnchor="page" w:horzAnchor="margin" w:tblpXSpec="center" w:tblpY="6258"/>
        <w:tblW w:w="4200" w:type="pct"/>
        <w:jc w:val="center"/>
        <w:tblLayout w:type="fixed"/>
        <w:tblCellMar>
          <w:top w:w="216" w:type="dxa"/>
          <w:left w:w="115" w:type="dxa"/>
          <w:bottom w:w="216" w:type="dxa"/>
          <w:right w:w="115" w:type="dxa"/>
        </w:tblCellMar>
        <w:tblLook w:val="00A0" w:firstRow="1" w:lastRow="0" w:firstColumn="1" w:lastColumn="0" w:noHBand="0" w:noVBand="0"/>
      </w:tblPr>
      <w:tblGrid>
        <w:gridCol w:w="7838"/>
      </w:tblGrid>
      <w:tr w:rsidR="00087872" w14:paraId="6425A38F" w14:textId="77777777">
        <w:trPr>
          <w:jc w:val="center"/>
        </w:trPr>
        <w:tc>
          <w:tcPr>
            <w:tcW w:w="7857" w:type="dxa"/>
            <w:tcBorders>
              <w:left w:val="single" w:sz="18" w:space="0" w:color="500E8D"/>
            </w:tcBorders>
            <w:shd w:val="pct10" w:color="auto" w:fill="auto"/>
          </w:tcPr>
          <w:p w14:paraId="09F70273" w14:textId="77777777" w:rsidR="00087872" w:rsidRDefault="00256B13">
            <w:pPr>
              <w:widowControl w:val="0"/>
              <w:rPr>
                <w:rFonts w:ascii="Cambria" w:eastAsia="Times New Roman" w:hAnsi="Cambria"/>
                <w:color w:val="500E8D"/>
                <w:sz w:val="44"/>
                <w:szCs w:val="44"/>
              </w:rPr>
            </w:pPr>
            <w:r>
              <w:rPr>
                <w:rFonts w:ascii="Cambria" w:eastAsia="Times New Roman" w:hAnsi="Cambria"/>
                <w:b/>
                <w:color w:val="500E8D"/>
                <w:sz w:val="44"/>
                <w:szCs w:val="44"/>
              </w:rPr>
              <w:t>Izglītības kvalitātes valsts dienesta</w:t>
            </w:r>
          </w:p>
        </w:tc>
      </w:tr>
      <w:tr w:rsidR="00087872" w14:paraId="14F2FE39" w14:textId="77777777">
        <w:trPr>
          <w:trHeight w:val="922"/>
          <w:jc w:val="center"/>
        </w:trPr>
        <w:tc>
          <w:tcPr>
            <w:tcW w:w="7857" w:type="dxa"/>
            <w:tcBorders>
              <w:left w:val="single" w:sz="18" w:space="0" w:color="500E8D"/>
            </w:tcBorders>
            <w:shd w:val="pct10" w:color="auto" w:fill="auto"/>
            <w:tcMar>
              <w:top w:w="0" w:type="dxa"/>
              <w:left w:w="108" w:type="dxa"/>
              <w:bottom w:w="0" w:type="dxa"/>
              <w:right w:w="108" w:type="dxa"/>
            </w:tcMar>
          </w:tcPr>
          <w:p w14:paraId="13007E1E" w14:textId="77777777" w:rsidR="00087872" w:rsidRDefault="00256B13">
            <w:pPr>
              <w:widowControl w:val="0"/>
              <w:rPr>
                <w:rFonts w:ascii="Cambria" w:eastAsia="Times New Roman" w:hAnsi="Cambria"/>
                <w:color w:val="500E8D"/>
                <w:sz w:val="22"/>
                <w:szCs w:val="22"/>
              </w:rPr>
            </w:pPr>
            <w:r>
              <w:rPr>
                <w:rFonts w:ascii="Cambria" w:eastAsia="Times New Roman" w:hAnsi="Cambria"/>
                <w:b/>
                <w:color w:val="500E8D"/>
                <w:sz w:val="56"/>
                <w:szCs w:val="22"/>
              </w:rPr>
              <w:t>2022. gada</w:t>
            </w:r>
          </w:p>
        </w:tc>
      </w:tr>
      <w:tr w:rsidR="00087872" w14:paraId="730CB3B8" w14:textId="77777777">
        <w:trPr>
          <w:trHeight w:val="417"/>
          <w:jc w:val="center"/>
        </w:trPr>
        <w:tc>
          <w:tcPr>
            <w:tcW w:w="7857" w:type="dxa"/>
            <w:tcBorders>
              <w:left w:val="single" w:sz="18" w:space="0" w:color="500E8D"/>
            </w:tcBorders>
            <w:shd w:val="pct10" w:color="auto" w:fill="auto"/>
          </w:tcPr>
          <w:p w14:paraId="490F8276" w14:textId="77777777" w:rsidR="00087872" w:rsidRDefault="00256B13">
            <w:pPr>
              <w:widowControl w:val="0"/>
              <w:rPr>
                <w:rFonts w:ascii="Cambria" w:eastAsia="Times New Roman" w:hAnsi="Cambria"/>
                <w:color w:val="500E8D"/>
                <w:sz w:val="22"/>
                <w:szCs w:val="22"/>
              </w:rPr>
            </w:pPr>
            <w:r>
              <w:rPr>
                <w:rFonts w:ascii="Cambria" w:eastAsia="Times New Roman" w:hAnsi="Cambria"/>
                <w:b/>
                <w:color w:val="500E8D"/>
                <w:sz w:val="56"/>
                <w:szCs w:val="22"/>
              </w:rPr>
              <w:t>Publiskais pārskats</w:t>
            </w:r>
          </w:p>
        </w:tc>
      </w:tr>
    </w:tbl>
    <w:p w14:paraId="4957854A" w14:textId="77777777" w:rsidR="00087872" w:rsidRDefault="00087872"/>
    <w:p w14:paraId="3DA15401" w14:textId="77777777" w:rsidR="00087872" w:rsidRDefault="00087872"/>
    <w:p w14:paraId="71208852" w14:textId="77777777" w:rsidR="00087872" w:rsidRDefault="00087872"/>
    <w:p w14:paraId="081AA974" w14:textId="77777777" w:rsidR="00087872" w:rsidRDefault="00087872"/>
    <w:p w14:paraId="01E37DC4" w14:textId="77777777" w:rsidR="00087872" w:rsidRDefault="00087872"/>
    <w:p w14:paraId="0F5C8BA4" w14:textId="77777777" w:rsidR="00087872" w:rsidRDefault="00087872"/>
    <w:p w14:paraId="6C65D856" w14:textId="77777777" w:rsidR="00087872" w:rsidRDefault="00087872"/>
    <w:p w14:paraId="1A295035" w14:textId="77777777" w:rsidR="00087872" w:rsidRDefault="00087872"/>
    <w:p w14:paraId="3DF6C98F" w14:textId="77777777" w:rsidR="00087872" w:rsidRDefault="00087872"/>
    <w:p w14:paraId="3F9F57A7" w14:textId="77777777" w:rsidR="00087872" w:rsidRDefault="00087872"/>
    <w:p w14:paraId="5EF2804D" w14:textId="77777777" w:rsidR="00087872" w:rsidRDefault="00087872">
      <w:pPr>
        <w:jc w:val="center"/>
        <w:rPr>
          <w:rFonts w:eastAsia="Times New Roman"/>
          <w:color w:val="500E8D"/>
          <w:sz w:val="22"/>
          <w:szCs w:val="22"/>
        </w:rPr>
      </w:pPr>
    </w:p>
    <w:p w14:paraId="1830F3A0" w14:textId="77777777" w:rsidR="00087872" w:rsidRDefault="00087872">
      <w:pPr>
        <w:jc w:val="center"/>
        <w:rPr>
          <w:rFonts w:eastAsia="Times New Roman"/>
          <w:color w:val="500E8D"/>
          <w:sz w:val="22"/>
          <w:szCs w:val="22"/>
        </w:rPr>
      </w:pPr>
    </w:p>
    <w:p w14:paraId="28FEF8F3" w14:textId="77777777" w:rsidR="00087872" w:rsidRDefault="00087872">
      <w:pPr>
        <w:jc w:val="center"/>
        <w:rPr>
          <w:rFonts w:eastAsia="Times New Roman"/>
          <w:color w:val="500E8D"/>
          <w:sz w:val="22"/>
          <w:szCs w:val="22"/>
        </w:rPr>
      </w:pPr>
    </w:p>
    <w:p w14:paraId="58A1421D" w14:textId="77777777" w:rsidR="00087872" w:rsidRDefault="00087872">
      <w:pPr>
        <w:jc w:val="center"/>
        <w:rPr>
          <w:rFonts w:eastAsia="Times New Roman"/>
          <w:color w:val="500E8D"/>
          <w:sz w:val="22"/>
          <w:szCs w:val="22"/>
        </w:rPr>
      </w:pPr>
    </w:p>
    <w:p w14:paraId="3D724972" w14:textId="77777777" w:rsidR="00087872" w:rsidRDefault="00087872">
      <w:pPr>
        <w:jc w:val="center"/>
        <w:rPr>
          <w:rFonts w:eastAsia="Times New Roman"/>
          <w:color w:val="500E8D"/>
          <w:sz w:val="22"/>
          <w:szCs w:val="22"/>
        </w:rPr>
      </w:pPr>
    </w:p>
    <w:p w14:paraId="64787E5E" w14:textId="77777777" w:rsidR="00087872" w:rsidRDefault="00087872">
      <w:pPr>
        <w:jc w:val="center"/>
        <w:rPr>
          <w:rFonts w:eastAsia="Times New Roman"/>
          <w:color w:val="500E8D"/>
          <w:sz w:val="22"/>
          <w:szCs w:val="22"/>
        </w:rPr>
      </w:pPr>
    </w:p>
    <w:p w14:paraId="7D94C1D3" w14:textId="77777777" w:rsidR="00087872" w:rsidRDefault="00087872">
      <w:pPr>
        <w:jc w:val="center"/>
        <w:rPr>
          <w:rFonts w:eastAsia="Times New Roman"/>
          <w:color w:val="500E8D"/>
          <w:sz w:val="22"/>
          <w:szCs w:val="22"/>
        </w:rPr>
      </w:pPr>
    </w:p>
    <w:p w14:paraId="4EDCA826" w14:textId="77777777" w:rsidR="00087872" w:rsidRDefault="00087872">
      <w:pPr>
        <w:jc w:val="center"/>
        <w:rPr>
          <w:rFonts w:eastAsia="Times New Roman"/>
          <w:color w:val="500E8D"/>
          <w:sz w:val="22"/>
          <w:szCs w:val="22"/>
        </w:rPr>
      </w:pPr>
    </w:p>
    <w:p w14:paraId="022B943F" w14:textId="77777777" w:rsidR="00087872" w:rsidRDefault="00087872">
      <w:pPr>
        <w:jc w:val="center"/>
        <w:rPr>
          <w:rFonts w:eastAsia="Times New Roman"/>
          <w:color w:val="500E8D"/>
          <w:sz w:val="22"/>
          <w:szCs w:val="22"/>
        </w:rPr>
      </w:pPr>
    </w:p>
    <w:p w14:paraId="5CE2F194" w14:textId="77777777" w:rsidR="00087872" w:rsidRDefault="00256B13">
      <w:pPr>
        <w:jc w:val="center"/>
      </w:pPr>
      <w:r>
        <w:rPr>
          <w:rFonts w:eastAsia="Times New Roman"/>
          <w:color w:val="500E8D"/>
          <w:sz w:val="22"/>
          <w:szCs w:val="22"/>
        </w:rPr>
        <w:t>© Izglītības kvalitātes valsts dienests, 2023</w:t>
      </w:r>
    </w:p>
    <w:p w14:paraId="095A998E" w14:textId="77777777" w:rsidR="00087872" w:rsidRDefault="00256B13">
      <w:r>
        <w:br w:type="page"/>
      </w:r>
    </w:p>
    <w:p w14:paraId="73C19E72" w14:textId="77777777" w:rsidR="00087872" w:rsidRDefault="00256B13">
      <w:pPr>
        <w:rPr>
          <w:rFonts w:ascii="Monotype Corsiva" w:eastAsia="Times New Roman" w:hAnsi="Monotype Corsiva"/>
          <w:b/>
          <w:color w:val="500E8D"/>
          <w:sz w:val="28"/>
          <w:szCs w:val="22"/>
        </w:rPr>
      </w:pPr>
      <w:r>
        <w:rPr>
          <w:rFonts w:ascii="Monotype Corsiva" w:eastAsia="Times New Roman" w:hAnsi="Monotype Corsiva"/>
          <w:b/>
          <w:color w:val="500E8D"/>
          <w:sz w:val="28"/>
          <w:szCs w:val="22"/>
        </w:rPr>
        <w:lastRenderedPageBreak/>
        <w:t>Cienījamais lasītāj!</w:t>
      </w:r>
    </w:p>
    <w:p w14:paraId="65E86EA7" w14:textId="77777777" w:rsidR="00087872" w:rsidRDefault="00256B13">
      <w:pPr>
        <w:rPr>
          <w:sz w:val="22"/>
          <w:szCs w:val="22"/>
        </w:rPr>
      </w:pPr>
      <w:r>
        <w:rPr>
          <w:sz w:val="22"/>
          <w:szCs w:val="22"/>
        </w:rPr>
        <w:t xml:space="preserve">Pēc vairāku gadu cīņas ar Covid-19 pandēmiju un cerībām par atgriešanos normālas dzīves </w:t>
      </w:r>
      <w:r>
        <w:rPr>
          <w:sz w:val="22"/>
          <w:szCs w:val="22"/>
        </w:rPr>
        <w:t>sliedēs 2022. gads pasaules demokrātiskajai sabiedrībai lika piedzīvot neiedomājamu satricinājumu – Krievijas brutālo pilna mēroga iebrukumu brīvajā Ukrainas valstī un briesmīgu, iznīcinošu karu Eiropā, pavisam tuvu Latvijai un mūsu mājām.</w:t>
      </w:r>
    </w:p>
    <w:p w14:paraId="20E9E499" w14:textId="77777777" w:rsidR="00087872" w:rsidRDefault="00256B13">
      <w:pPr>
        <w:rPr>
          <w:sz w:val="22"/>
          <w:szCs w:val="22"/>
        </w:rPr>
      </w:pPr>
      <w:r>
        <w:rPr>
          <w:sz w:val="22"/>
          <w:szCs w:val="22"/>
        </w:rPr>
        <w:t>Arī Izglītības k</w:t>
      </w:r>
      <w:r>
        <w:rPr>
          <w:sz w:val="22"/>
          <w:szCs w:val="22"/>
        </w:rPr>
        <w:t>valitātes valsts dienestam un tā darbiniekiem šis gads nesis gan darbus un darba rezultātus ceļā uz izglītības kvalitātes attīstību Latvijā, gan nepieciešamību katram personiski un visiem kopā pielikt roku Ukrainas atbalstam.</w:t>
      </w:r>
    </w:p>
    <w:p w14:paraId="47F37296" w14:textId="77777777" w:rsidR="00087872" w:rsidRDefault="00256B13">
      <w:pPr>
        <w:rPr>
          <w:sz w:val="22"/>
          <w:szCs w:val="22"/>
        </w:rPr>
      </w:pPr>
      <w:r>
        <w:rPr>
          <w:sz w:val="22"/>
          <w:szCs w:val="22"/>
        </w:rPr>
        <w:t>Sākoties Ukrainas bēgļu uzņemš</w:t>
      </w:r>
      <w:r>
        <w:rPr>
          <w:sz w:val="22"/>
          <w:szCs w:val="22"/>
        </w:rPr>
        <w:t xml:space="preserve">anai Latvijā, iesaistījāmies normatīvā regulējuma veidošanā, lai nodrošinātu Ukrainas civiliedzīvotājiem gan izglītības, gan darba iespējas, tostarp iespējas saņemt un sniegt bērnu uzraudzības pakalpojumus, kā arī psiholoģisko atbalstu. </w:t>
      </w:r>
    </w:p>
    <w:p w14:paraId="617FB663" w14:textId="77777777" w:rsidR="00087872" w:rsidRDefault="00256B13">
      <w:pPr>
        <w:rPr>
          <w:sz w:val="22"/>
          <w:szCs w:val="22"/>
        </w:rPr>
      </w:pPr>
      <w:r>
        <w:rPr>
          <w:sz w:val="22"/>
          <w:szCs w:val="22"/>
        </w:rPr>
        <w:t>Šis laiks parādīja</w:t>
      </w:r>
      <w:r>
        <w:rPr>
          <w:sz w:val="22"/>
          <w:szCs w:val="22"/>
        </w:rPr>
        <w:t>, ka nav iespējams un nedrīkst palikt malā vai ieņemt neitrālu pozīciju, kad runa ir par pamatvērtībām – tiesībām uz dzīvību, drošību un brīvību. Tādēļ mudinājām skolas stiprināt bērnu un jauniešu patriotisko un pilsonisko apziņu, aicinājām neizvairīties n</w:t>
      </w:r>
      <w:r>
        <w:rPr>
          <w:sz w:val="22"/>
          <w:szCs w:val="22"/>
        </w:rPr>
        <w:t>o sarunām par karu, bet runāt par visas cilvēces un mūsu Satversmē noteiktajām pamatvērtībām, protams, ņemot vērā bērnu vecumposmu. Vienlaikus atgādinājām, cik svarīgi ir uzturēt bērnos drošības sajūtu, stāstīt par Latvijas dalību NATO un mūsu valsts inici</w:t>
      </w:r>
      <w:r>
        <w:rPr>
          <w:sz w:val="22"/>
          <w:szCs w:val="22"/>
        </w:rPr>
        <w:t xml:space="preserve">atīvām Latvijas un Eiropas drošības stiprināšanā. </w:t>
      </w:r>
    </w:p>
    <w:p w14:paraId="7B84E242" w14:textId="77777777" w:rsidR="00087872" w:rsidRDefault="00256B13">
      <w:pPr>
        <w:rPr>
          <w:sz w:val="22"/>
          <w:szCs w:val="22"/>
        </w:rPr>
      </w:pPr>
      <w:r>
        <w:rPr>
          <w:sz w:val="22"/>
          <w:szCs w:val="22"/>
        </w:rPr>
        <w:t xml:space="preserve">Krievijas agresija aktualizēja svarīgu nepadarītu darbu mūsu pašu mājās – līdz galam neīstenoto pāreju uz mācībām tikai valsts valodā. Konstatējām, ka daudziem pedagogiem un skolēniem joprojām ir grūtības </w:t>
      </w:r>
      <w:r>
        <w:rPr>
          <w:sz w:val="22"/>
          <w:szCs w:val="22"/>
        </w:rPr>
        <w:t>sarunāties, mācīt un mācīties latviešu valodā. Ir gandarījums, ka varējām iesaistīties gan normatīvo aktu grozījumu tapšanā, gan īstenošanā, lai arī izglītībā beidzot nostiprinātos latviešu valoda kā vienīgā valsts valoda, un no 2025. gada septembra Latvij</w:t>
      </w:r>
      <w:r>
        <w:rPr>
          <w:sz w:val="22"/>
          <w:szCs w:val="22"/>
        </w:rPr>
        <w:t xml:space="preserve">ā visas pamatizglītības programmas tiktu īstenotas tikai valsts valodā. Sekot līdzi, uzraudzīt un atbalstīt izglītības iestādes ceļā un šī mērķa sasniegšanu būs arī Izglītības kvalitātes valsts dienesta nozīmīgs turpmāko gadu pienākums. </w:t>
      </w:r>
    </w:p>
    <w:p w14:paraId="33E8E634" w14:textId="77777777" w:rsidR="00087872" w:rsidRDefault="00256B13">
      <w:pPr>
        <w:rPr>
          <w:sz w:val="22"/>
          <w:szCs w:val="22"/>
        </w:rPr>
      </w:pPr>
      <w:r>
        <w:rPr>
          <w:sz w:val="22"/>
          <w:szCs w:val="22"/>
        </w:rPr>
        <w:t>Tomēr 2022. gadā n</w:t>
      </w:r>
      <w:r>
        <w:rPr>
          <w:sz w:val="22"/>
          <w:szCs w:val="22"/>
        </w:rPr>
        <w:t>eaizmirsām arī par citiem darāmajiem darbiem Latvijas izglītībā. Aktīvi piedalījāmies gan Izglītības likuma, gan Profesionālās izglītības likuma grozījumu sagatavošanā, un tādējādi tika sākta pāreja uz institucionālo akreditāciju, novēršot nepieciešamību a</w:t>
      </w:r>
      <w:r>
        <w:rPr>
          <w:sz w:val="22"/>
          <w:szCs w:val="22"/>
        </w:rPr>
        <w:t>kreditēt katru izglītības programmu, kas it īpaši profesionālās izglītības iestādēm veidoja lielu administratīvo slogu. Tomēr izglītības programmu kvalitāte nav atstāta novārtā – tā tiks izvērtēta jau licencējot programmu, kā arī izglītības iestādes akredi</w:t>
      </w:r>
      <w:r>
        <w:rPr>
          <w:sz w:val="22"/>
          <w:szCs w:val="22"/>
        </w:rPr>
        <w:t>tācijā, skatoties uz visas izglītības iestādes darbības kvalitāti kopumā. Savukārt profesionālajā izglītībā tika precizēti profesionālās izglītības iestāžu statusi, līdz ar to Izglītības iestāžu reģistra darbinieki uzsāka apjomīgu darbu, aicinot profesionā</w:t>
      </w:r>
      <w:r>
        <w:rPr>
          <w:sz w:val="22"/>
          <w:szCs w:val="22"/>
        </w:rPr>
        <w:t xml:space="preserve">lās izglītības iestādes noteikt jaunos statusus un veikt grozījumus reģistrā. Tāpat aktīvi iesaistījāmies citu svarīgu tiesību normu izstrādē, gan saistībā ar pašvaldības, dibinātāja, izglītības iestādes vadītāja pienākumiem, gan stiprinot izglītību kā no </w:t>
      </w:r>
      <w:r>
        <w:rPr>
          <w:sz w:val="22"/>
          <w:szCs w:val="22"/>
        </w:rPr>
        <w:t>vardarbības brīvu vidi.</w:t>
      </w:r>
    </w:p>
    <w:p w14:paraId="08D425D8" w14:textId="77777777" w:rsidR="00087872" w:rsidRDefault="00256B13">
      <w:pPr>
        <w:rPr>
          <w:sz w:val="22"/>
          <w:szCs w:val="22"/>
        </w:rPr>
      </w:pPr>
      <w:r>
        <w:rPr>
          <w:sz w:val="22"/>
          <w:szCs w:val="22"/>
        </w:rPr>
        <w:t>2022. gada 1. novembrī pēc vēlēšanām sāka darbu Latvijas Republikas 14. Saeima, tādējādi aizsākot jaunu četru gadu periodu Latvijas politikā un valsts pārvaldes darbā. Gada nogalē izveidojās jauna valdība un 14. decembrī tika apstip</w:t>
      </w:r>
      <w:r>
        <w:rPr>
          <w:sz w:val="22"/>
          <w:szCs w:val="22"/>
        </w:rPr>
        <w:t xml:space="preserve">rināta jaunās Krišjāņa Kariņa vadītās valdības deklarācija, kas iezīmēja jaunus izaicinājumus un uzdevumu arī izglītības jomā, kuri jāsāk pildīt jau no 2023. gada. </w:t>
      </w:r>
    </w:p>
    <w:p w14:paraId="4DBC97D9" w14:textId="77777777" w:rsidR="00087872" w:rsidRDefault="00087872">
      <w:pPr>
        <w:rPr>
          <w:sz w:val="22"/>
          <w:szCs w:val="22"/>
        </w:rPr>
      </w:pPr>
    </w:p>
    <w:p w14:paraId="571A4B81" w14:textId="77777777" w:rsidR="00087872" w:rsidRDefault="00256B13">
      <w:pPr>
        <w:ind w:left="-426"/>
      </w:pPr>
      <w:r>
        <w:rPr>
          <w:noProof/>
        </w:rPr>
        <w:drawing>
          <wp:anchor distT="0" distB="0" distL="114300" distR="114300" simplePos="0" relativeHeight="7" behindDoc="0" locked="0" layoutInCell="0" allowOverlap="1" wp14:anchorId="5BEB60EE" wp14:editId="6FF27C20">
            <wp:simplePos x="0" y="0"/>
            <wp:positionH relativeFrom="column">
              <wp:posOffset>3385185</wp:posOffset>
            </wp:positionH>
            <wp:positionV relativeFrom="paragraph">
              <wp:posOffset>85725</wp:posOffset>
            </wp:positionV>
            <wp:extent cx="1590040" cy="461010"/>
            <wp:effectExtent l="0" t="0" r="0" b="0"/>
            <wp:wrapSquare wrapText="bothSides"/>
            <wp:docPr id="2" name="Picture 2" descr="Description: C:\Documents and Settings\Ilze\Desktop\GP_2012\parak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C:\Documents and Settings\Ilze\Desktop\GP_2012\paraksts.JPG"/>
                    <pic:cNvPicPr>
                      <a:picLocks noChangeAspect="1" noChangeArrowheads="1"/>
                    </pic:cNvPicPr>
                  </pic:nvPicPr>
                  <pic:blipFill>
                    <a:blip r:embed="rId9"/>
                    <a:stretch>
                      <a:fillRect/>
                    </a:stretch>
                  </pic:blipFill>
                  <pic:spPr bwMode="auto">
                    <a:xfrm>
                      <a:off x="0" y="0"/>
                      <a:ext cx="1590040" cy="461010"/>
                    </a:xfrm>
                    <a:prstGeom prst="rect">
                      <a:avLst/>
                    </a:prstGeom>
                  </pic:spPr>
                </pic:pic>
              </a:graphicData>
            </a:graphic>
          </wp:anchor>
        </w:drawing>
      </w:r>
      <w:r>
        <w:rPr>
          <w:rFonts w:ascii="Monotype Corsiva" w:eastAsia="Times New Roman" w:hAnsi="Monotype Corsiva"/>
          <w:color w:val="500E8D"/>
        </w:rPr>
        <w:t xml:space="preserve">     Izglītības kvalitātes valsts dienesta vadītāja Inita Juhņēviča</w:t>
      </w:r>
      <w:r>
        <w:br w:type="page"/>
      </w:r>
    </w:p>
    <w:p w14:paraId="26CF6E61" w14:textId="77777777" w:rsidR="00087872" w:rsidRDefault="00256B13">
      <w:pPr>
        <w:jc w:val="center"/>
      </w:pPr>
      <w:r>
        <w:rPr>
          <w:rFonts w:eastAsia="Times New Roman"/>
          <w:b/>
          <w:color w:val="500E8D"/>
          <w:sz w:val="28"/>
          <w:szCs w:val="28"/>
        </w:rPr>
        <w:lastRenderedPageBreak/>
        <w:t xml:space="preserve">SATURA </w:t>
      </w:r>
      <w:r>
        <w:rPr>
          <w:rFonts w:eastAsia="Times New Roman"/>
          <w:b/>
          <w:color w:val="500E8D"/>
          <w:sz w:val="28"/>
          <w:szCs w:val="28"/>
        </w:rPr>
        <w:t>RĀDĪTĀJS</w:t>
      </w:r>
    </w:p>
    <w:sdt>
      <w:sdtPr>
        <w:id w:val="1186482502"/>
        <w:docPartObj>
          <w:docPartGallery w:val="Table of Contents"/>
          <w:docPartUnique/>
        </w:docPartObj>
      </w:sdtPr>
      <w:sdtEndPr/>
      <w:sdtContent>
        <w:p w14:paraId="7ECA42E5" w14:textId="77777777" w:rsidR="00087872" w:rsidRDefault="00256B13">
          <w:pPr>
            <w:pStyle w:val="Saturs1"/>
            <w:tabs>
              <w:tab w:val="right" w:leader="dot" w:pos="9344"/>
            </w:tabs>
          </w:pPr>
          <w:r>
            <w:fldChar w:fldCharType="begin"/>
          </w:r>
          <w:r>
            <w:rPr>
              <w:rStyle w:val="IndexLink"/>
              <w:webHidden/>
              <w:lang w:val="lv-LV"/>
            </w:rPr>
            <w:instrText>TOC \z \o "1-9" \h</w:instrText>
          </w:r>
          <w:r>
            <w:rPr>
              <w:rStyle w:val="IndexLink"/>
              <w:lang w:val="lv-LV"/>
            </w:rPr>
            <w:fldChar w:fldCharType="separate"/>
          </w:r>
          <w:hyperlink w:anchor="_Toc139120219">
            <w:r>
              <w:rPr>
                <w:webHidden/>
              </w:rPr>
              <w:fldChar w:fldCharType="begin"/>
            </w:r>
            <w:r>
              <w:rPr>
                <w:webHidden/>
              </w:rPr>
              <w:instrText>PAGEREF _Toc139120219 \h</w:instrText>
            </w:r>
            <w:r>
              <w:rPr>
                <w:webHidden/>
              </w:rPr>
            </w:r>
            <w:r>
              <w:rPr>
                <w:webHidden/>
              </w:rPr>
              <w:fldChar w:fldCharType="separate"/>
            </w:r>
            <w:r>
              <w:rPr>
                <w:rStyle w:val="IndexLink"/>
                <w:webHidden/>
                <w:lang w:val="lv-LV"/>
              </w:rPr>
              <w:t>I. PAMATINFORMĀCIJA</w:t>
            </w:r>
            <w:r>
              <w:rPr>
                <w:rStyle w:val="IndexLink"/>
                <w:webHidden/>
                <w:lang w:val="lv-LV"/>
              </w:rPr>
              <w:tab/>
              <w:t>4</w:t>
            </w:r>
            <w:r>
              <w:rPr>
                <w:webHidden/>
              </w:rPr>
              <w:fldChar w:fldCharType="end"/>
            </w:r>
          </w:hyperlink>
        </w:p>
        <w:p w14:paraId="30754C38" w14:textId="77777777" w:rsidR="00087872" w:rsidRDefault="00256B13">
          <w:pPr>
            <w:pStyle w:val="Saturs2"/>
            <w:tabs>
              <w:tab w:val="right" w:leader="dot" w:pos="9344"/>
            </w:tabs>
          </w:pPr>
          <w:hyperlink w:anchor="_Toc139120220">
            <w:r>
              <w:rPr>
                <w:webHidden/>
              </w:rPr>
              <w:fldChar w:fldCharType="begin"/>
            </w:r>
            <w:r>
              <w:rPr>
                <w:webHidden/>
              </w:rPr>
              <w:instrText>PAGEREF _Toc</w:instrText>
            </w:r>
            <w:r>
              <w:rPr>
                <w:webHidden/>
              </w:rPr>
              <w:instrText>139120220 \h</w:instrText>
            </w:r>
            <w:r>
              <w:rPr>
                <w:webHidden/>
              </w:rPr>
            </w:r>
            <w:r>
              <w:rPr>
                <w:webHidden/>
              </w:rPr>
              <w:fldChar w:fldCharType="separate"/>
            </w:r>
            <w:r>
              <w:rPr>
                <w:rStyle w:val="IndexLink"/>
                <w:webHidden/>
                <w:lang w:val="lv-LV"/>
              </w:rPr>
              <w:t>1.1. Iestādes juridiskais statuss</w:t>
            </w:r>
            <w:r>
              <w:rPr>
                <w:rStyle w:val="IndexLink"/>
                <w:webHidden/>
                <w:lang w:val="lv-LV"/>
              </w:rPr>
              <w:tab/>
              <w:t>4</w:t>
            </w:r>
            <w:r>
              <w:rPr>
                <w:webHidden/>
              </w:rPr>
              <w:fldChar w:fldCharType="end"/>
            </w:r>
          </w:hyperlink>
        </w:p>
        <w:p w14:paraId="1EF9D218" w14:textId="77777777" w:rsidR="00087872" w:rsidRDefault="00256B13">
          <w:pPr>
            <w:pStyle w:val="Saturs2"/>
            <w:tabs>
              <w:tab w:val="right" w:leader="dot" w:pos="9344"/>
            </w:tabs>
          </w:pPr>
          <w:hyperlink w:anchor="_Toc139120221">
            <w:r>
              <w:rPr>
                <w:webHidden/>
              </w:rPr>
              <w:fldChar w:fldCharType="begin"/>
            </w:r>
            <w:r>
              <w:rPr>
                <w:webHidden/>
              </w:rPr>
              <w:instrText>PAGEREF _Toc139120221 \h</w:instrText>
            </w:r>
            <w:r>
              <w:rPr>
                <w:webHidden/>
              </w:rPr>
            </w:r>
            <w:r>
              <w:rPr>
                <w:webHidden/>
              </w:rPr>
              <w:fldChar w:fldCharType="separate"/>
            </w:r>
            <w:r>
              <w:rPr>
                <w:rStyle w:val="IndexLink"/>
                <w:webHidden/>
                <w:lang w:val="lv-LV"/>
              </w:rPr>
              <w:t>1.2. Iestādes darbības jomas un funkcijas</w:t>
            </w:r>
            <w:r>
              <w:rPr>
                <w:rStyle w:val="IndexLink"/>
                <w:webHidden/>
                <w:lang w:val="lv-LV"/>
              </w:rPr>
              <w:tab/>
              <w:t>4</w:t>
            </w:r>
            <w:r>
              <w:rPr>
                <w:webHidden/>
              </w:rPr>
              <w:fldChar w:fldCharType="end"/>
            </w:r>
          </w:hyperlink>
        </w:p>
        <w:p w14:paraId="70FD9CB6" w14:textId="77777777" w:rsidR="00087872" w:rsidRDefault="00256B13">
          <w:pPr>
            <w:pStyle w:val="Saturs2"/>
            <w:tabs>
              <w:tab w:val="right" w:leader="dot" w:pos="9344"/>
            </w:tabs>
          </w:pPr>
          <w:hyperlink w:anchor="_Toc139120222">
            <w:r>
              <w:rPr>
                <w:webHidden/>
              </w:rPr>
              <w:fldChar w:fldCharType="begin"/>
            </w:r>
            <w:r>
              <w:rPr>
                <w:webHidden/>
              </w:rPr>
              <w:instrText>PAGEREF _Toc139120222 \h</w:instrText>
            </w:r>
            <w:r>
              <w:rPr>
                <w:webHidden/>
              </w:rPr>
            </w:r>
            <w:r>
              <w:rPr>
                <w:webHidden/>
              </w:rPr>
              <w:fldChar w:fldCharType="separate"/>
            </w:r>
            <w:r>
              <w:rPr>
                <w:rStyle w:val="IndexLink"/>
                <w:webHidden/>
                <w:lang w:val="lv-LV"/>
              </w:rPr>
              <w:t>1.3. Iestādes darbības virzieni un mērķi</w:t>
            </w:r>
            <w:r>
              <w:rPr>
                <w:rStyle w:val="IndexLink"/>
                <w:webHidden/>
                <w:lang w:val="lv-LV"/>
              </w:rPr>
              <w:tab/>
              <w:t>5</w:t>
            </w:r>
            <w:r>
              <w:rPr>
                <w:webHidden/>
              </w:rPr>
              <w:fldChar w:fldCharType="end"/>
            </w:r>
          </w:hyperlink>
        </w:p>
        <w:p w14:paraId="4C71E296" w14:textId="77777777" w:rsidR="00087872" w:rsidRDefault="00256B13">
          <w:pPr>
            <w:pStyle w:val="Saturs2"/>
            <w:tabs>
              <w:tab w:val="right" w:leader="dot" w:pos="9344"/>
            </w:tabs>
          </w:pPr>
          <w:hyperlink w:anchor="_Toc139120223">
            <w:r>
              <w:rPr>
                <w:webHidden/>
              </w:rPr>
              <w:fldChar w:fldCharType="begin"/>
            </w:r>
            <w:r>
              <w:rPr>
                <w:webHidden/>
              </w:rPr>
              <w:instrText>PAGEREF _Toc139120223 \h</w:instrText>
            </w:r>
            <w:r>
              <w:rPr>
                <w:webHidden/>
              </w:rPr>
            </w:r>
            <w:r>
              <w:rPr>
                <w:webHidden/>
              </w:rPr>
              <w:fldChar w:fldCharType="separate"/>
            </w:r>
            <w:r>
              <w:rPr>
                <w:rStyle w:val="IndexLink"/>
                <w:webHidden/>
                <w:lang w:val="lv-LV"/>
              </w:rPr>
              <w:t>1.4. Pārskata gada galvenie uzdevumi</w:t>
            </w:r>
            <w:r>
              <w:rPr>
                <w:rStyle w:val="IndexLink"/>
                <w:webHidden/>
                <w:lang w:val="lv-LV"/>
              </w:rPr>
              <w:tab/>
              <w:t>5</w:t>
            </w:r>
            <w:r>
              <w:rPr>
                <w:webHidden/>
              </w:rPr>
              <w:fldChar w:fldCharType="end"/>
            </w:r>
          </w:hyperlink>
        </w:p>
        <w:p w14:paraId="480E60B2" w14:textId="77777777" w:rsidR="00087872" w:rsidRDefault="00256B13">
          <w:pPr>
            <w:pStyle w:val="Saturs1"/>
            <w:tabs>
              <w:tab w:val="right" w:leader="dot" w:pos="9344"/>
            </w:tabs>
          </w:pPr>
          <w:hyperlink w:anchor="_Toc139120224">
            <w:r>
              <w:rPr>
                <w:webHidden/>
              </w:rPr>
              <w:fldChar w:fldCharType="begin"/>
            </w:r>
            <w:r>
              <w:rPr>
                <w:webHidden/>
              </w:rPr>
              <w:instrText>PAGEREF _Toc139120224 \h</w:instrText>
            </w:r>
            <w:r>
              <w:rPr>
                <w:webHidden/>
              </w:rPr>
            </w:r>
            <w:r>
              <w:rPr>
                <w:webHidden/>
              </w:rPr>
              <w:fldChar w:fldCharType="separate"/>
            </w:r>
            <w:r>
              <w:rPr>
                <w:rStyle w:val="IndexLink"/>
                <w:webHidden/>
                <w:lang w:val="lv-LV"/>
              </w:rPr>
              <w:t>II. FINANŠU RESURSI UN DARBĪBAS REZULTĀTI</w:t>
            </w:r>
            <w:r>
              <w:rPr>
                <w:rStyle w:val="IndexLink"/>
                <w:webHidden/>
                <w:lang w:val="lv-LV"/>
              </w:rPr>
              <w:tab/>
              <w:t>6</w:t>
            </w:r>
            <w:r>
              <w:rPr>
                <w:webHidden/>
              </w:rPr>
              <w:fldChar w:fldCharType="end"/>
            </w:r>
          </w:hyperlink>
        </w:p>
        <w:p w14:paraId="6AA05C16" w14:textId="77777777" w:rsidR="00087872" w:rsidRDefault="00256B13">
          <w:pPr>
            <w:pStyle w:val="Saturs2"/>
            <w:tabs>
              <w:tab w:val="right" w:leader="dot" w:pos="9344"/>
            </w:tabs>
          </w:pPr>
          <w:hyperlink w:anchor="_Toc139120225">
            <w:r>
              <w:rPr>
                <w:webHidden/>
              </w:rPr>
              <w:fldChar w:fldCharType="begin"/>
            </w:r>
            <w:r>
              <w:rPr>
                <w:webHidden/>
              </w:rPr>
              <w:instrText>PAGEREF _Toc13912022</w:instrText>
            </w:r>
            <w:r>
              <w:rPr>
                <w:webHidden/>
              </w:rPr>
              <w:instrText>5 \h</w:instrText>
            </w:r>
            <w:r>
              <w:rPr>
                <w:webHidden/>
              </w:rPr>
            </w:r>
            <w:r>
              <w:rPr>
                <w:webHidden/>
              </w:rPr>
              <w:fldChar w:fldCharType="separate"/>
            </w:r>
            <w:r>
              <w:rPr>
                <w:rStyle w:val="IndexLink"/>
                <w:webHidden/>
                <w:lang w:val="lv-LV"/>
              </w:rPr>
              <w:t>2.1. Valsts budžeta finansējums un tā izlietojums</w:t>
            </w:r>
            <w:r>
              <w:rPr>
                <w:rStyle w:val="IndexLink"/>
                <w:webHidden/>
                <w:lang w:val="lv-LV"/>
              </w:rPr>
              <w:tab/>
              <w:t>6</w:t>
            </w:r>
            <w:r>
              <w:rPr>
                <w:webHidden/>
              </w:rPr>
              <w:fldChar w:fldCharType="end"/>
            </w:r>
          </w:hyperlink>
        </w:p>
        <w:p w14:paraId="24F9A683" w14:textId="77777777" w:rsidR="00087872" w:rsidRDefault="00256B13">
          <w:pPr>
            <w:pStyle w:val="Saturs2"/>
            <w:tabs>
              <w:tab w:val="right" w:leader="dot" w:pos="9344"/>
            </w:tabs>
          </w:pPr>
          <w:hyperlink w:anchor="_Toc139120226">
            <w:r>
              <w:rPr>
                <w:webHidden/>
              </w:rPr>
              <w:fldChar w:fldCharType="begin"/>
            </w:r>
            <w:r>
              <w:rPr>
                <w:webHidden/>
              </w:rPr>
              <w:instrText>PAGEREF _Toc139120226 \h</w:instrText>
            </w:r>
            <w:r>
              <w:rPr>
                <w:webHidden/>
              </w:rPr>
            </w:r>
            <w:r>
              <w:rPr>
                <w:webHidden/>
              </w:rPr>
              <w:fldChar w:fldCharType="separate"/>
            </w:r>
            <w:r>
              <w:rPr>
                <w:rStyle w:val="IndexLink"/>
                <w:webHidden/>
                <w:lang w:val="lv-LV"/>
              </w:rPr>
              <w:t>2.2. Darbības stratēģijā sasniedzamo rez</w:t>
            </w:r>
            <w:r>
              <w:rPr>
                <w:rStyle w:val="IndexLink"/>
                <w:webHidden/>
                <w:lang w:val="lv-LV"/>
              </w:rPr>
              <w:t>ultātu izpildes analīze</w:t>
            </w:r>
            <w:r>
              <w:rPr>
                <w:rStyle w:val="IndexLink"/>
                <w:webHidden/>
                <w:lang w:val="lv-LV"/>
              </w:rPr>
              <w:tab/>
              <w:t>6</w:t>
            </w:r>
            <w:r>
              <w:rPr>
                <w:webHidden/>
              </w:rPr>
              <w:fldChar w:fldCharType="end"/>
            </w:r>
          </w:hyperlink>
        </w:p>
        <w:p w14:paraId="1875C65C" w14:textId="77777777" w:rsidR="00087872" w:rsidRDefault="00256B13">
          <w:pPr>
            <w:pStyle w:val="Saturs3"/>
            <w:tabs>
              <w:tab w:val="right" w:leader="dot" w:pos="9344"/>
            </w:tabs>
          </w:pPr>
          <w:hyperlink w:anchor="_Toc139120227">
            <w:r>
              <w:rPr>
                <w:webHidden/>
              </w:rPr>
              <w:fldChar w:fldCharType="begin"/>
            </w:r>
            <w:r>
              <w:rPr>
                <w:webHidden/>
              </w:rPr>
              <w:instrText>PAGEREF _Toc139120227 \h</w:instrText>
            </w:r>
            <w:r>
              <w:rPr>
                <w:webHidden/>
              </w:rPr>
            </w:r>
            <w:r>
              <w:rPr>
                <w:webHidden/>
              </w:rPr>
              <w:fldChar w:fldCharType="separate"/>
            </w:r>
            <w:r>
              <w:rPr>
                <w:rStyle w:val="IndexLink"/>
                <w:webHidden/>
                <w:lang w:val="lv-LV"/>
              </w:rPr>
              <w:t>2.2.1. Reģistrācija</w:t>
            </w:r>
            <w:r>
              <w:rPr>
                <w:rStyle w:val="IndexLink"/>
                <w:webHidden/>
                <w:lang w:val="lv-LV"/>
              </w:rPr>
              <w:tab/>
              <w:t>7</w:t>
            </w:r>
            <w:r>
              <w:rPr>
                <w:webHidden/>
              </w:rPr>
              <w:fldChar w:fldCharType="end"/>
            </w:r>
          </w:hyperlink>
        </w:p>
        <w:p w14:paraId="794777EF" w14:textId="77777777" w:rsidR="00087872" w:rsidRDefault="00256B13">
          <w:pPr>
            <w:pStyle w:val="Saturs3"/>
            <w:tabs>
              <w:tab w:val="right" w:leader="dot" w:pos="9344"/>
            </w:tabs>
          </w:pPr>
          <w:hyperlink w:anchor="_Toc139120228">
            <w:r>
              <w:rPr>
                <w:webHidden/>
              </w:rPr>
              <w:fldChar w:fldCharType="begin"/>
            </w:r>
            <w:r>
              <w:rPr>
                <w:webHidden/>
              </w:rPr>
              <w:instrText>PAGEREF _Toc139120228 \h</w:instrText>
            </w:r>
            <w:r>
              <w:rPr>
                <w:webHidden/>
              </w:rPr>
            </w:r>
            <w:r>
              <w:rPr>
                <w:webHidden/>
              </w:rPr>
              <w:fldChar w:fldCharType="separate"/>
            </w:r>
            <w:r>
              <w:rPr>
                <w:rStyle w:val="IndexLink"/>
                <w:webHidden/>
                <w:lang w:val="lv-LV"/>
              </w:rPr>
              <w:t>2.2.2. Izglītības programmu lice</w:t>
            </w:r>
            <w:r>
              <w:rPr>
                <w:rStyle w:val="IndexLink"/>
                <w:webHidden/>
                <w:lang w:val="lv-LV"/>
              </w:rPr>
              <w:t>n</w:t>
            </w:r>
            <w:r>
              <w:rPr>
                <w:rStyle w:val="IndexLink"/>
                <w:webHidden/>
                <w:lang w:val="lv-LV"/>
              </w:rPr>
              <w:t>cēšana</w:t>
            </w:r>
            <w:r>
              <w:rPr>
                <w:rStyle w:val="IndexLink"/>
                <w:webHidden/>
                <w:lang w:val="lv-LV"/>
              </w:rPr>
              <w:tab/>
              <w:t>12</w:t>
            </w:r>
            <w:r>
              <w:rPr>
                <w:webHidden/>
              </w:rPr>
              <w:fldChar w:fldCharType="end"/>
            </w:r>
          </w:hyperlink>
        </w:p>
        <w:p w14:paraId="45D0F4B9" w14:textId="7D532663" w:rsidR="00087872" w:rsidRDefault="00256B13">
          <w:pPr>
            <w:pStyle w:val="Saturs3"/>
            <w:tabs>
              <w:tab w:val="right" w:leader="dot" w:pos="9344"/>
            </w:tabs>
          </w:pPr>
          <w:hyperlink w:anchor="_Toc139120229">
            <w:r>
              <w:rPr>
                <w:webHidden/>
              </w:rPr>
              <w:fldChar w:fldCharType="begin"/>
            </w:r>
            <w:r>
              <w:rPr>
                <w:webHidden/>
              </w:rPr>
              <w:instrText>PAGEREF _Toc139120229 \h</w:instrText>
            </w:r>
            <w:r>
              <w:rPr>
                <w:webHidden/>
              </w:rPr>
            </w:r>
            <w:r>
              <w:rPr>
                <w:webHidden/>
              </w:rPr>
              <w:fldChar w:fldCharType="separate"/>
            </w:r>
            <w:r>
              <w:rPr>
                <w:rStyle w:val="IndexLink"/>
                <w:webHidden/>
                <w:lang w:val="lv-LV"/>
              </w:rPr>
              <w:t>2.2.3. Izglītības kvalitātes novērtēšana un nodrošināšana</w:t>
            </w:r>
            <w:r>
              <w:rPr>
                <w:rStyle w:val="IndexLink"/>
                <w:webHidden/>
                <w:lang w:val="lv-LV"/>
              </w:rPr>
              <w:tab/>
              <w:t>1</w:t>
            </w:r>
            <w:r w:rsidR="00F5276E">
              <w:rPr>
                <w:rStyle w:val="IndexLink"/>
                <w:webHidden/>
                <w:lang w:val="lv-LV"/>
              </w:rPr>
              <w:t>6</w:t>
            </w:r>
            <w:r>
              <w:rPr>
                <w:webHidden/>
              </w:rPr>
              <w:fldChar w:fldCharType="end"/>
            </w:r>
          </w:hyperlink>
        </w:p>
        <w:p w14:paraId="7C49426F" w14:textId="77777777" w:rsidR="00087872" w:rsidRDefault="00256B13">
          <w:pPr>
            <w:pStyle w:val="Saturs3"/>
            <w:tabs>
              <w:tab w:val="right" w:leader="dot" w:pos="9344"/>
            </w:tabs>
          </w:pPr>
          <w:hyperlink w:anchor="_Toc139120230">
            <w:r>
              <w:rPr>
                <w:webHidden/>
              </w:rPr>
              <w:fldChar w:fldCharType="begin"/>
            </w:r>
            <w:r>
              <w:rPr>
                <w:webHidden/>
              </w:rPr>
              <w:instrText>PAGEREF _Toc139120230 \h</w:instrText>
            </w:r>
            <w:r>
              <w:rPr>
                <w:webHidden/>
              </w:rPr>
            </w:r>
            <w:r>
              <w:rPr>
                <w:webHidden/>
              </w:rPr>
              <w:fldChar w:fldCharType="separate"/>
            </w:r>
            <w:r>
              <w:rPr>
                <w:rStyle w:val="IndexLink"/>
                <w:webHidden/>
                <w:lang w:val="lv-LV"/>
              </w:rPr>
              <w:t>2.2.4. Ārpus for</w:t>
            </w:r>
            <w:r>
              <w:rPr>
                <w:rStyle w:val="IndexLink"/>
                <w:webHidden/>
                <w:lang w:val="lv-LV"/>
              </w:rPr>
              <w:t>m</w:t>
            </w:r>
            <w:r>
              <w:rPr>
                <w:rStyle w:val="IndexLink"/>
                <w:webHidden/>
                <w:lang w:val="lv-LV"/>
              </w:rPr>
              <w:t>ālās izglītības sistēmas apgūtās profesionālās kompetences novērtēšana</w:t>
            </w:r>
            <w:r>
              <w:rPr>
                <w:rStyle w:val="IndexLink"/>
                <w:webHidden/>
                <w:lang w:val="lv-LV"/>
              </w:rPr>
              <w:tab/>
              <w:t>21</w:t>
            </w:r>
            <w:r>
              <w:rPr>
                <w:webHidden/>
              </w:rPr>
              <w:fldChar w:fldCharType="end"/>
            </w:r>
          </w:hyperlink>
        </w:p>
        <w:p w14:paraId="21868560" w14:textId="4EC76BC5" w:rsidR="00087872" w:rsidRDefault="00256B13">
          <w:pPr>
            <w:pStyle w:val="Saturs3"/>
            <w:tabs>
              <w:tab w:val="right" w:leader="dot" w:pos="9344"/>
            </w:tabs>
          </w:pPr>
          <w:hyperlink w:anchor="_Toc139120231">
            <w:r>
              <w:rPr>
                <w:webHidden/>
              </w:rPr>
              <w:fldChar w:fldCharType="begin"/>
            </w:r>
            <w:r>
              <w:rPr>
                <w:webHidden/>
              </w:rPr>
              <w:instrText>PAGEREF _Toc139120231 \h</w:instrText>
            </w:r>
            <w:r>
              <w:rPr>
                <w:webHidden/>
              </w:rPr>
            </w:r>
            <w:r>
              <w:rPr>
                <w:webHidden/>
              </w:rPr>
              <w:fldChar w:fldCharType="separate"/>
            </w:r>
            <w:r>
              <w:rPr>
                <w:rStyle w:val="IndexLink"/>
                <w:webHidden/>
                <w:lang w:val="lv-LV"/>
              </w:rPr>
              <w:t>2.2.5. Uzrau</w:t>
            </w:r>
            <w:r>
              <w:rPr>
                <w:rStyle w:val="IndexLink"/>
                <w:webHidden/>
                <w:lang w:val="lv-LV"/>
              </w:rPr>
              <w:t>d</w:t>
            </w:r>
            <w:r>
              <w:rPr>
                <w:rStyle w:val="IndexLink"/>
                <w:webHidden/>
                <w:lang w:val="lv-LV"/>
              </w:rPr>
              <w:t>zība</w:t>
            </w:r>
            <w:r>
              <w:rPr>
                <w:rStyle w:val="IndexLink"/>
                <w:webHidden/>
                <w:lang w:val="lv-LV"/>
              </w:rPr>
              <w:tab/>
              <w:t>23</w:t>
            </w:r>
            <w:r>
              <w:rPr>
                <w:webHidden/>
              </w:rPr>
              <w:fldChar w:fldCharType="end"/>
            </w:r>
          </w:hyperlink>
        </w:p>
        <w:p w14:paraId="40B780D4" w14:textId="77777777" w:rsidR="00087872" w:rsidRDefault="00256B13">
          <w:pPr>
            <w:pStyle w:val="Saturs3"/>
            <w:tabs>
              <w:tab w:val="right" w:leader="dot" w:pos="9344"/>
            </w:tabs>
          </w:pPr>
          <w:hyperlink w:anchor="_Toc139120232">
            <w:r>
              <w:rPr>
                <w:webHidden/>
              </w:rPr>
              <w:fldChar w:fldCharType="begin"/>
            </w:r>
            <w:r>
              <w:rPr>
                <w:webHidden/>
              </w:rPr>
              <w:instrText>PAGEREF _Toc139120232 \h</w:instrText>
            </w:r>
            <w:r>
              <w:rPr>
                <w:webHidden/>
              </w:rPr>
            </w:r>
            <w:r>
              <w:rPr>
                <w:webHidden/>
              </w:rPr>
              <w:fldChar w:fldCharType="separate"/>
            </w:r>
            <w:r>
              <w:rPr>
                <w:rStyle w:val="IndexLink"/>
                <w:webHidden/>
                <w:lang w:val="lv-LV"/>
              </w:rPr>
              <w:t>2.</w:t>
            </w:r>
            <w:r>
              <w:rPr>
                <w:rStyle w:val="IndexLink"/>
                <w:webHidden/>
                <w:lang w:val="lv-LV"/>
              </w:rPr>
              <w:t>3</w:t>
            </w:r>
            <w:r>
              <w:rPr>
                <w:rStyle w:val="IndexLink"/>
                <w:webHidden/>
                <w:lang w:val="lv-LV"/>
              </w:rPr>
              <w:t>. Kvalitātes dienesta īste</w:t>
            </w:r>
            <w:r>
              <w:rPr>
                <w:rStyle w:val="IndexLink"/>
                <w:webHidden/>
                <w:lang w:val="lv-LV"/>
              </w:rPr>
              <w:t>n</w:t>
            </w:r>
            <w:r>
              <w:rPr>
                <w:rStyle w:val="IndexLink"/>
                <w:webHidden/>
                <w:lang w:val="lv-LV"/>
              </w:rPr>
              <w:t>otie projekti un to rezultāti</w:t>
            </w:r>
            <w:r>
              <w:rPr>
                <w:rStyle w:val="IndexLink"/>
                <w:webHidden/>
                <w:lang w:val="lv-LV"/>
              </w:rPr>
              <w:tab/>
              <w:t>25</w:t>
            </w:r>
            <w:r>
              <w:rPr>
                <w:webHidden/>
              </w:rPr>
              <w:fldChar w:fldCharType="end"/>
            </w:r>
          </w:hyperlink>
        </w:p>
        <w:p w14:paraId="5AD60D65" w14:textId="77777777" w:rsidR="00087872" w:rsidRDefault="00256B13">
          <w:pPr>
            <w:pStyle w:val="Saturs3"/>
            <w:tabs>
              <w:tab w:val="right" w:leader="dot" w:pos="9344"/>
            </w:tabs>
          </w:pPr>
          <w:hyperlink w:anchor="_Toc139120233">
            <w:r>
              <w:rPr>
                <w:webHidden/>
              </w:rPr>
              <w:fldChar w:fldCharType="begin"/>
            </w:r>
            <w:r>
              <w:rPr>
                <w:webHidden/>
              </w:rPr>
              <w:instrText>PAGEREF _Toc139120233 \h</w:instrText>
            </w:r>
            <w:r>
              <w:rPr>
                <w:webHidden/>
              </w:rPr>
            </w:r>
            <w:r>
              <w:rPr>
                <w:webHidden/>
              </w:rPr>
              <w:fldChar w:fldCharType="separate"/>
            </w:r>
            <w:r>
              <w:rPr>
                <w:rStyle w:val="IndexLink"/>
                <w:webHidden/>
                <w:lang w:val="lv-LV"/>
              </w:rPr>
              <w:t>2.3.1. ESF projekta Nr.8.3.4.0/16/I/001 “Atbalsts priekšlaicīgas mācību pārtraukšanas samazināšanai” (PuMPuRS) īstenošana</w:t>
            </w:r>
            <w:r>
              <w:rPr>
                <w:rStyle w:val="IndexLink"/>
                <w:webHidden/>
                <w:lang w:val="lv-LV"/>
              </w:rPr>
              <w:tab/>
              <w:t>25</w:t>
            </w:r>
            <w:r>
              <w:rPr>
                <w:webHidden/>
              </w:rPr>
              <w:fldChar w:fldCharType="end"/>
            </w:r>
          </w:hyperlink>
        </w:p>
        <w:p w14:paraId="60CCC75D" w14:textId="77777777" w:rsidR="00087872" w:rsidRDefault="00256B13">
          <w:pPr>
            <w:pStyle w:val="Saturs3"/>
            <w:tabs>
              <w:tab w:val="right" w:leader="dot" w:pos="9344"/>
            </w:tabs>
          </w:pPr>
          <w:hyperlink w:anchor="_Toc139120234">
            <w:r>
              <w:rPr>
                <w:webHidden/>
              </w:rPr>
              <w:fldChar w:fldCharType="begin"/>
            </w:r>
            <w:r>
              <w:rPr>
                <w:webHidden/>
              </w:rPr>
              <w:instrText>PAGEREF _Toc139120234 \h</w:instrText>
            </w:r>
            <w:r>
              <w:rPr>
                <w:webHidden/>
              </w:rPr>
            </w:r>
            <w:r>
              <w:rPr>
                <w:webHidden/>
              </w:rPr>
              <w:fldChar w:fldCharType="separate"/>
            </w:r>
            <w:r>
              <w:rPr>
                <w:rStyle w:val="IndexLink"/>
                <w:webHidden/>
                <w:lang w:val="lv-LV"/>
              </w:rPr>
              <w:t>2.3.2.</w:t>
            </w:r>
            <w:r>
              <w:rPr>
                <w:rStyle w:val="IndexLink"/>
                <w:webHidden/>
                <w:lang w:val="lv-LV"/>
              </w:rPr>
              <w:t xml:space="preserve"> </w:t>
            </w:r>
            <w:r>
              <w:rPr>
                <w:rStyle w:val="IndexLink"/>
                <w:webHidden/>
                <w:lang w:val="lv-LV"/>
              </w:rPr>
              <w:t>ESF projekta 8.3.6.2. pasākuma projekta “Izglītības kvalitātes monitoringa sistēmas izveide un īstenošana” īstenošana</w:t>
            </w:r>
            <w:r>
              <w:rPr>
                <w:rStyle w:val="IndexLink"/>
                <w:webHidden/>
                <w:lang w:val="lv-LV"/>
              </w:rPr>
              <w:tab/>
              <w:t>28</w:t>
            </w:r>
            <w:r>
              <w:rPr>
                <w:webHidden/>
              </w:rPr>
              <w:fldChar w:fldCharType="end"/>
            </w:r>
          </w:hyperlink>
        </w:p>
        <w:p w14:paraId="2B09154D" w14:textId="77777777" w:rsidR="00087872" w:rsidRDefault="00256B13">
          <w:pPr>
            <w:pStyle w:val="Saturs3"/>
            <w:tabs>
              <w:tab w:val="right" w:leader="dot" w:pos="9344"/>
            </w:tabs>
          </w:pPr>
          <w:hyperlink w:anchor="_Toc139120235">
            <w:r>
              <w:rPr>
                <w:webHidden/>
              </w:rPr>
              <w:fldChar w:fldCharType="begin"/>
            </w:r>
            <w:r>
              <w:rPr>
                <w:webHidden/>
              </w:rPr>
              <w:instrText>PAGEREF _Toc139120235 \h</w:instrText>
            </w:r>
            <w:r>
              <w:rPr>
                <w:webHidden/>
              </w:rPr>
            </w:r>
            <w:r>
              <w:rPr>
                <w:webHidden/>
              </w:rPr>
              <w:fldChar w:fldCharType="separate"/>
            </w:r>
            <w:r>
              <w:rPr>
                <w:rStyle w:val="IndexLink"/>
                <w:webHidden/>
                <w:lang w:val="lv-LV"/>
              </w:rPr>
              <w:t>2.3.3. ESF projekta Nr.7.1.1.0/15/I/001 “Atbalsts</w:t>
            </w:r>
            <w:r>
              <w:rPr>
                <w:rStyle w:val="IndexLink"/>
                <w:webHidden/>
                <w:lang w:val="lv-LV"/>
              </w:rPr>
              <w:t xml:space="preserve"> </w:t>
            </w:r>
            <w:r>
              <w:rPr>
                <w:rStyle w:val="IndexLink"/>
                <w:webHidden/>
                <w:lang w:val="lv-LV"/>
              </w:rPr>
              <w:t>bezdarbnieku izglītībai” īstenošana</w:t>
            </w:r>
            <w:r>
              <w:rPr>
                <w:rStyle w:val="IndexLink"/>
                <w:webHidden/>
                <w:lang w:val="lv-LV"/>
              </w:rPr>
              <w:tab/>
              <w:t>29</w:t>
            </w:r>
            <w:r>
              <w:rPr>
                <w:webHidden/>
              </w:rPr>
              <w:fldChar w:fldCharType="end"/>
            </w:r>
          </w:hyperlink>
        </w:p>
        <w:p w14:paraId="47C58239" w14:textId="1332AA4A" w:rsidR="007930F8" w:rsidRPr="007930F8" w:rsidRDefault="007930F8" w:rsidP="007930F8">
          <w:pPr>
            <w:rPr>
              <w:rStyle w:val="IndexLink"/>
              <w:rFonts w:ascii="Calibri" w:hAnsi="Calibri"/>
              <w:sz w:val="22"/>
              <w:szCs w:val="22"/>
            </w:rPr>
          </w:pPr>
          <w:r>
            <w:rPr>
              <w:rStyle w:val="IndexLink"/>
              <w:rFonts w:ascii="Calibri" w:hAnsi="Calibri"/>
              <w:sz w:val="22"/>
              <w:szCs w:val="22"/>
            </w:rPr>
            <w:t xml:space="preserve">        </w:t>
          </w:r>
          <w:r w:rsidRPr="007930F8">
            <w:rPr>
              <w:rStyle w:val="IndexLink"/>
              <w:rFonts w:ascii="Calibri" w:hAnsi="Calibri"/>
              <w:sz w:val="22"/>
              <w:szCs w:val="22"/>
            </w:rPr>
            <w:t>2.3.</w:t>
          </w:r>
          <w:r w:rsidR="00256B13">
            <w:rPr>
              <w:rStyle w:val="IndexLink"/>
              <w:rFonts w:ascii="Calibri" w:hAnsi="Calibri"/>
              <w:sz w:val="22"/>
              <w:szCs w:val="22"/>
            </w:rPr>
            <w:t>4</w:t>
          </w:r>
          <w:r w:rsidRPr="007930F8">
            <w:rPr>
              <w:rStyle w:val="IndexLink"/>
              <w:rFonts w:ascii="Calibri" w:hAnsi="Calibri"/>
              <w:sz w:val="22"/>
              <w:szCs w:val="22"/>
            </w:rPr>
            <w:t xml:space="preserve">. EQAVET – Eiropas kvalitātes nodrošināšanas </w:t>
          </w:r>
          <w:proofErr w:type="spellStart"/>
          <w:r w:rsidRPr="007930F8">
            <w:rPr>
              <w:rStyle w:val="IndexLink"/>
              <w:rFonts w:ascii="Calibri" w:hAnsi="Calibri"/>
              <w:sz w:val="22"/>
              <w:szCs w:val="22"/>
            </w:rPr>
            <w:t>ietvarstruktūras</w:t>
          </w:r>
          <w:proofErr w:type="spellEnd"/>
          <w:r w:rsidRPr="007930F8">
            <w:rPr>
              <w:rStyle w:val="IndexLink"/>
              <w:rFonts w:ascii="Calibri" w:hAnsi="Calibri"/>
              <w:sz w:val="22"/>
              <w:szCs w:val="22"/>
            </w:rPr>
            <w:t xml:space="preserve"> profesionālajā izglītībā un profesionālajā tālākizglītībā ieviešanas koordinēšana</w:t>
          </w:r>
          <w:r w:rsidR="00256B13">
            <w:rPr>
              <w:rStyle w:val="IndexLink"/>
              <w:rFonts w:ascii="Calibri" w:hAnsi="Calibri"/>
              <w:sz w:val="22"/>
              <w:szCs w:val="22"/>
            </w:rPr>
            <w:t>……………………………………………………………………………30</w:t>
          </w:r>
        </w:p>
        <w:p w14:paraId="1682EEA3" w14:textId="22E482B1" w:rsidR="00087872" w:rsidRDefault="00256B13">
          <w:pPr>
            <w:pStyle w:val="Saturs2"/>
            <w:tabs>
              <w:tab w:val="right" w:leader="dot" w:pos="9344"/>
            </w:tabs>
          </w:pPr>
          <w:hyperlink w:anchor="_Toc139120236">
            <w:r>
              <w:rPr>
                <w:webHidden/>
              </w:rPr>
              <w:fldChar w:fldCharType="begin"/>
            </w:r>
            <w:r>
              <w:rPr>
                <w:webHidden/>
              </w:rPr>
              <w:instrText>PAGEREF _Toc139120236 \h</w:instrText>
            </w:r>
            <w:r>
              <w:rPr>
                <w:webHidden/>
              </w:rPr>
            </w:r>
            <w:r>
              <w:rPr>
                <w:webHidden/>
              </w:rPr>
              <w:fldChar w:fldCharType="separate"/>
            </w:r>
            <w:r>
              <w:rPr>
                <w:rStyle w:val="IndexLink"/>
                <w:webHidden/>
                <w:lang w:val="lv-LV"/>
              </w:rPr>
              <w:t>2.4. Publis</w:t>
            </w:r>
            <w:r>
              <w:rPr>
                <w:rStyle w:val="IndexLink"/>
                <w:webHidden/>
                <w:lang w:val="lv-LV"/>
              </w:rPr>
              <w:t>k</w:t>
            </w:r>
            <w:r>
              <w:rPr>
                <w:rStyle w:val="IndexLink"/>
                <w:webHidden/>
                <w:lang w:val="lv-LV"/>
              </w:rPr>
              <w:t>i</w:t>
            </w:r>
            <w:r>
              <w:rPr>
                <w:rStyle w:val="IndexLink"/>
                <w:webHidden/>
                <w:lang w:val="lv-LV"/>
              </w:rPr>
              <w:t>e</w:t>
            </w:r>
            <w:r>
              <w:rPr>
                <w:rStyle w:val="IndexLink"/>
                <w:webHidden/>
                <w:lang w:val="lv-LV"/>
              </w:rPr>
              <w:t xml:space="preserve"> pakal</w:t>
            </w:r>
            <w:r>
              <w:rPr>
                <w:rStyle w:val="IndexLink"/>
                <w:webHidden/>
                <w:lang w:val="lv-LV"/>
              </w:rPr>
              <w:t>p</w:t>
            </w:r>
            <w:r>
              <w:rPr>
                <w:rStyle w:val="IndexLink"/>
                <w:webHidden/>
                <w:lang w:val="lv-LV"/>
              </w:rPr>
              <w:t>ojumi</w:t>
            </w:r>
            <w:r>
              <w:rPr>
                <w:rStyle w:val="IndexLink"/>
                <w:webHidden/>
                <w:lang w:val="lv-LV"/>
              </w:rPr>
              <w:tab/>
              <w:t>3</w:t>
            </w:r>
            <w:r w:rsidR="00F5276E">
              <w:rPr>
                <w:rStyle w:val="IndexLink"/>
                <w:webHidden/>
                <w:lang w:val="lv-LV"/>
              </w:rPr>
              <w:t>0</w:t>
            </w:r>
            <w:r>
              <w:rPr>
                <w:webHidden/>
              </w:rPr>
              <w:fldChar w:fldCharType="end"/>
            </w:r>
          </w:hyperlink>
        </w:p>
        <w:p w14:paraId="38099784" w14:textId="77777777" w:rsidR="00087872" w:rsidRDefault="00256B13">
          <w:pPr>
            <w:pStyle w:val="Saturs2"/>
            <w:tabs>
              <w:tab w:val="right" w:leader="dot" w:pos="9344"/>
            </w:tabs>
          </w:pPr>
          <w:hyperlink w:anchor="_Toc139120237">
            <w:r>
              <w:rPr>
                <w:webHidden/>
              </w:rPr>
              <w:fldChar w:fldCharType="begin"/>
            </w:r>
            <w:r>
              <w:rPr>
                <w:webHidden/>
              </w:rPr>
              <w:instrText>PAGEREF _Toc139120237 \h</w:instrText>
            </w:r>
            <w:r>
              <w:rPr>
                <w:webHidden/>
              </w:rPr>
            </w:r>
            <w:r>
              <w:rPr>
                <w:webHidden/>
              </w:rPr>
              <w:fldChar w:fldCharType="separate"/>
            </w:r>
            <w:r>
              <w:rPr>
                <w:rStyle w:val="IndexLink"/>
                <w:webHidden/>
                <w:lang w:val="lv-LV"/>
              </w:rPr>
              <w:t>2.5. Stratēģijas ieviešanas novērtējums</w:t>
            </w:r>
            <w:r>
              <w:rPr>
                <w:rStyle w:val="IndexLink"/>
                <w:webHidden/>
                <w:lang w:val="lv-LV"/>
              </w:rPr>
              <w:tab/>
              <w:t>31</w:t>
            </w:r>
            <w:r>
              <w:rPr>
                <w:webHidden/>
              </w:rPr>
              <w:fldChar w:fldCharType="end"/>
            </w:r>
          </w:hyperlink>
        </w:p>
        <w:p w14:paraId="6306748C" w14:textId="77777777" w:rsidR="00087872" w:rsidRDefault="00256B13">
          <w:pPr>
            <w:pStyle w:val="Saturs1"/>
            <w:tabs>
              <w:tab w:val="right" w:leader="dot" w:pos="9344"/>
            </w:tabs>
          </w:pPr>
          <w:hyperlink w:anchor="_Toc139120238">
            <w:r>
              <w:rPr>
                <w:webHidden/>
              </w:rPr>
              <w:fldChar w:fldCharType="begin"/>
            </w:r>
            <w:r>
              <w:rPr>
                <w:webHidden/>
              </w:rPr>
              <w:instrText>PAGEREF _Toc139120238 \h</w:instrText>
            </w:r>
            <w:r>
              <w:rPr>
                <w:webHidden/>
              </w:rPr>
            </w:r>
            <w:r>
              <w:rPr>
                <w:webHidden/>
              </w:rPr>
              <w:fldChar w:fldCharType="separate"/>
            </w:r>
            <w:r>
              <w:rPr>
                <w:rStyle w:val="IndexLink"/>
                <w:webHidden/>
                <w:lang w:val="lv-LV"/>
              </w:rPr>
              <w:t>III. PERSON</w:t>
            </w:r>
            <w:r>
              <w:rPr>
                <w:rStyle w:val="IndexLink"/>
                <w:webHidden/>
                <w:lang w:val="lv-LV"/>
              </w:rPr>
              <w:t>Ā</w:t>
            </w:r>
            <w:r>
              <w:rPr>
                <w:rStyle w:val="IndexLink"/>
                <w:webHidden/>
                <w:lang w:val="lv-LV"/>
              </w:rPr>
              <w:t>LS</w:t>
            </w:r>
            <w:r>
              <w:rPr>
                <w:rStyle w:val="IndexLink"/>
                <w:webHidden/>
                <w:lang w:val="lv-LV"/>
              </w:rPr>
              <w:tab/>
              <w:t>34</w:t>
            </w:r>
            <w:r>
              <w:rPr>
                <w:webHidden/>
              </w:rPr>
              <w:fldChar w:fldCharType="end"/>
            </w:r>
          </w:hyperlink>
        </w:p>
        <w:p w14:paraId="09B217A6" w14:textId="77777777" w:rsidR="00087872" w:rsidRDefault="00256B13">
          <w:pPr>
            <w:pStyle w:val="Saturs2"/>
            <w:tabs>
              <w:tab w:val="right" w:leader="dot" w:pos="9344"/>
            </w:tabs>
          </w:pPr>
          <w:hyperlink w:anchor="_Toc139120239">
            <w:r>
              <w:rPr>
                <w:webHidden/>
              </w:rPr>
              <w:fldChar w:fldCharType="begin"/>
            </w:r>
            <w:r>
              <w:rPr>
                <w:webHidden/>
              </w:rPr>
              <w:instrText>PAGEREF _Toc139120239 \h</w:instrText>
            </w:r>
            <w:r>
              <w:rPr>
                <w:webHidden/>
              </w:rPr>
            </w:r>
            <w:r>
              <w:rPr>
                <w:webHidden/>
              </w:rPr>
              <w:fldChar w:fldCharType="separate"/>
            </w:r>
            <w:r>
              <w:rPr>
                <w:rStyle w:val="IndexLink"/>
                <w:webHidden/>
                <w:lang w:val="lv-LV"/>
              </w:rPr>
              <w:t>3.1. Amata vietas un nodarbināto skait</w:t>
            </w:r>
            <w:r>
              <w:rPr>
                <w:rStyle w:val="IndexLink"/>
                <w:webHidden/>
                <w:lang w:val="lv-LV"/>
              </w:rPr>
              <w:t>s un sastāvs</w:t>
            </w:r>
            <w:r>
              <w:rPr>
                <w:rStyle w:val="IndexLink"/>
                <w:webHidden/>
                <w:lang w:val="lv-LV"/>
              </w:rPr>
              <w:tab/>
              <w:t>34</w:t>
            </w:r>
            <w:r>
              <w:rPr>
                <w:webHidden/>
              </w:rPr>
              <w:fldChar w:fldCharType="end"/>
            </w:r>
          </w:hyperlink>
        </w:p>
        <w:p w14:paraId="1041E74A" w14:textId="77777777" w:rsidR="00087872" w:rsidRDefault="00256B13">
          <w:pPr>
            <w:pStyle w:val="Saturs2"/>
            <w:tabs>
              <w:tab w:val="right" w:leader="dot" w:pos="9344"/>
            </w:tabs>
          </w:pPr>
          <w:hyperlink w:anchor="_Toc139120240">
            <w:r>
              <w:rPr>
                <w:webHidden/>
              </w:rPr>
              <w:fldChar w:fldCharType="begin"/>
            </w:r>
            <w:r>
              <w:rPr>
                <w:webHidden/>
              </w:rPr>
              <w:instrText>PAGEREF _Toc139120240 \h</w:instrText>
            </w:r>
            <w:r>
              <w:rPr>
                <w:webHidden/>
              </w:rPr>
            </w:r>
            <w:r>
              <w:rPr>
                <w:webHidden/>
              </w:rPr>
              <w:fldChar w:fldCharType="separate"/>
            </w:r>
            <w:r>
              <w:rPr>
                <w:rStyle w:val="IndexLink"/>
                <w:webHidden/>
                <w:lang w:val="lv-LV"/>
              </w:rPr>
              <w:t>3.2. Personāla kustība un profesionālā pilnveide</w:t>
            </w:r>
            <w:r>
              <w:rPr>
                <w:rStyle w:val="IndexLink"/>
                <w:webHidden/>
                <w:lang w:val="lv-LV"/>
              </w:rPr>
              <w:tab/>
              <w:t>34</w:t>
            </w:r>
            <w:r>
              <w:rPr>
                <w:webHidden/>
              </w:rPr>
              <w:fldChar w:fldCharType="end"/>
            </w:r>
          </w:hyperlink>
        </w:p>
        <w:p w14:paraId="4B52CD43" w14:textId="77777777" w:rsidR="00087872" w:rsidRDefault="00256B13">
          <w:pPr>
            <w:pStyle w:val="Saturs1"/>
            <w:tabs>
              <w:tab w:val="right" w:leader="dot" w:pos="9344"/>
            </w:tabs>
          </w:pPr>
          <w:hyperlink w:anchor="_Toc139120241">
            <w:r>
              <w:rPr>
                <w:webHidden/>
              </w:rPr>
              <w:fldChar w:fldCharType="begin"/>
            </w:r>
            <w:r>
              <w:rPr>
                <w:webHidden/>
              </w:rPr>
              <w:instrText>PAGEREF _Toc139120241 \h</w:instrText>
            </w:r>
            <w:r>
              <w:rPr>
                <w:webHidden/>
              </w:rPr>
            </w:r>
            <w:r>
              <w:rPr>
                <w:webHidden/>
              </w:rPr>
              <w:fldChar w:fldCharType="separate"/>
            </w:r>
            <w:r>
              <w:rPr>
                <w:rStyle w:val="IndexLink"/>
                <w:webHidden/>
                <w:lang w:val="lv-LV"/>
              </w:rPr>
              <w:t>IV. KOMUNIKĀCIJA AR SABIEDRĪBU</w:t>
            </w:r>
            <w:r>
              <w:rPr>
                <w:rStyle w:val="IndexLink"/>
                <w:webHidden/>
                <w:lang w:val="lv-LV"/>
              </w:rPr>
              <w:tab/>
              <w:t>36</w:t>
            </w:r>
            <w:r>
              <w:rPr>
                <w:webHidden/>
              </w:rPr>
              <w:fldChar w:fldCharType="end"/>
            </w:r>
          </w:hyperlink>
        </w:p>
        <w:p w14:paraId="429952D7" w14:textId="77777777" w:rsidR="00087872" w:rsidRDefault="00256B13">
          <w:pPr>
            <w:pStyle w:val="Saturs1"/>
            <w:tabs>
              <w:tab w:val="right" w:leader="dot" w:pos="9344"/>
            </w:tabs>
          </w:pPr>
          <w:hyperlink w:anchor="_Toc139120242">
            <w:r>
              <w:rPr>
                <w:webHidden/>
              </w:rPr>
              <w:fldChar w:fldCharType="begin"/>
            </w:r>
            <w:r>
              <w:rPr>
                <w:webHidden/>
              </w:rPr>
              <w:instrText>PAGEREF _Toc139120242 \h</w:instrText>
            </w:r>
            <w:r>
              <w:rPr>
                <w:webHidden/>
              </w:rPr>
            </w:r>
            <w:r>
              <w:rPr>
                <w:webHidden/>
              </w:rPr>
              <w:fldChar w:fldCharType="separate"/>
            </w:r>
            <w:r>
              <w:rPr>
                <w:rStyle w:val="IndexLink"/>
                <w:webHidden/>
                <w:lang w:val="lv-LV"/>
              </w:rPr>
              <w:t>V. NĀKAMAJĀ GADĀ PLĀNOTIE PASĀKUMI</w:t>
            </w:r>
            <w:r>
              <w:rPr>
                <w:rStyle w:val="IndexLink"/>
                <w:webHidden/>
                <w:lang w:val="lv-LV"/>
              </w:rPr>
              <w:tab/>
              <w:t>37</w:t>
            </w:r>
            <w:r>
              <w:rPr>
                <w:webHidden/>
              </w:rPr>
              <w:fldChar w:fldCharType="end"/>
            </w:r>
          </w:hyperlink>
          <w:r>
            <w:rPr>
              <w:rStyle w:val="IndexLink"/>
              <w:lang w:val="lv-LV"/>
            </w:rPr>
            <w:fldChar w:fldCharType="end"/>
          </w:r>
        </w:p>
      </w:sdtContent>
    </w:sdt>
    <w:p w14:paraId="0F0BD13C" w14:textId="77777777" w:rsidR="00087872" w:rsidRDefault="00087872">
      <w:pPr>
        <w:rPr>
          <w:color w:val="500E8D"/>
          <w:sz w:val="22"/>
          <w:szCs w:val="22"/>
        </w:rPr>
      </w:pPr>
    </w:p>
    <w:p w14:paraId="53669714" w14:textId="77777777" w:rsidR="00087872" w:rsidRDefault="00256B13">
      <w:r>
        <w:br w:type="page"/>
      </w:r>
    </w:p>
    <w:p w14:paraId="21BEC185" w14:textId="77777777" w:rsidR="00087872" w:rsidRDefault="00256B13">
      <w:pPr>
        <w:pStyle w:val="Virsraksts11"/>
      </w:pPr>
      <w:bookmarkStart w:id="1" w:name="_Toc456012526"/>
      <w:bookmarkStart w:id="2" w:name="_Toc456012639"/>
      <w:bookmarkStart w:id="3" w:name="_Toc139120219"/>
      <w:r>
        <w:t>I. PAMATINFO</w:t>
      </w:r>
      <w:r>
        <w:t>RMĀCIJA</w:t>
      </w:r>
      <w:bookmarkEnd w:id="1"/>
      <w:bookmarkEnd w:id="2"/>
      <w:bookmarkEnd w:id="3"/>
    </w:p>
    <w:p w14:paraId="2E12CA55" w14:textId="77777777" w:rsidR="00087872" w:rsidRDefault="00256B13">
      <w:r>
        <w:rPr>
          <w:rFonts w:eastAsia="Times New Roman"/>
          <w:bCs/>
          <w:sz w:val="22"/>
          <w:szCs w:val="22"/>
        </w:rPr>
        <w:t xml:space="preserve">Izglītības kvalitātes valsts dienesta </w:t>
      </w:r>
      <w:r>
        <w:rPr>
          <w:rFonts w:eastAsia="Times New Roman"/>
          <w:sz w:val="22"/>
          <w:szCs w:val="22"/>
        </w:rPr>
        <w:t xml:space="preserve">juridiskā adrese: Smilšu iela 7, Rīga, LV-1050. </w:t>
      </w:r>
      <w:r>
        <w:rPr>
          <w:rFonts w:eastAsia="Times New Roman"/>
          <w:bCs/>
          <w:sz w:val="22"/>
          <w:szCs w:val="22"/>
        </w:rPr>
        <w:t xml:space="preserve">Izglītības kvalitātes valsts dienesta birojs Rēzeknē: 18. novembra iela 16, Rēzekne, LV-4601 </w:t>
      </w:r>
    </w:p>
    <w:p w14:paraId="21E8EF81" w14:textId="77777777" w:rsidR="00087872" w:rsidRDefault="00256B13">
      <w:r>
        <w:rPr>
          <w:rFonts w:eastAsia="Times New Roman"/>
          <w:bCs/>
          <w:sz w:val="22"/>
          <w:szCs w:val="22"/>
        </w:rPr>
        <w:t>Darbības programmas "Izaugsme un nodarbinātība" 8.3.4. specifiskā at</w:t>
      </w:r>
      <w:r>
        <w:rPr>
          <w:rFonts w:eastAsia="Times New Roman"/>
          <w:bCs/>
          <w:sz w:val="22"/>
          <w:szCs w:val="22"/>
        </w:rPr>
        <w:t>balsta mērķa "Samazināt priekšlaicīgu mācību pārtraukšanu, īstenojot preventīvus un intervences pasākumus" projekta Nr.8.3.4.0/16/I/001 “Atbalsts priekšlaicīgas mācību pārtraukšanas samazināšanai” (Projekta SAM 8.3.4. departamenta) birojs: Doma laukums 8A,</w:t>
      </w:r>
      <w:r>
        <w:rPr>
          <w:rFonts w:eastAsia="Times New Roman"/>
          <w:bCs/>
          <w:sz w:val="22"/>
          <w:szCs w:val="22"/>
        </w:rPr>
        <w:t xml:space="preserve"> Rīga, LV-1050.</w:t>
      </w:r>
    </w:p>
    <w:p w14:paraId="0038EC6D" w14:textId="77777777" w:rsidR="00087872" w:rsidRDefault="00256B13">
      <w:r>
        <w:rPr>
          <w:rFonts w:eastAsia="Times New Roman"/>
          <w:bCs/>
          <w:sz w:val="22"/>
          <w:szCs w:val="22"/>
        </w:rPr>
        <w:t xml:space="preserve">Tīmekļvietne: </w:t>
      </w:r>
      <w:hyperlink r:id="rId10">
        <w:r>
          <w:rPr>
            <w:rFonts w:eastAsia="Times New Roman"/>
            <w:bCs/>
            <w:sz w:val="22"/>
            <w:szCs w:val="22"/>
          </w:rPr>
          <w:t>www.ikvd.gov.lv</w:t>
        </w:r>
      </w:hyperlink>
    </w:p>
    <w:p w14:paraId="22D2CCCB" w14:textId="77777777" w:rsidR="00087872" w:rsidRDefault="00256B13">
      <w:proofErr w:type="spellStart"/>
      <w:r>
        <w:rPr>
          <w:rFonts w:eastAsia="Times New Roman"/>
          <w:bCs/>
          <w:sz w:val="22"/>
          <w:szCs w:val="22"/>
        </w:rPr>
        <w:t>Twitter</w:t>
      </w:r>
      <w:proofErr w:type="spellEnd"/>
      <w:r>
        <w:rPr>
          <w:rFonts w:eastAsia="Times New Roman"/>
          <w:bCs/>
          <w:sz w:val="22"/>
          <w:szCs w:val="22"/>
        </w:rPr>
        <w:t xml:space="preserve"> konts: @IKVD_gov_lv </w:t>
      </w:r>
    </w:p>
    <w:p w14:paraId="0C074E42" w14:textId="77777777" w:rsidR="00087872" w:rsidRDefault="00256B13">
      <w:proofErr w:type="spellStart"/>
      <w:r>
        <w:rPr>
          <w:rFonts w:eastAsia="Times New Roman"/>
          <w:bCs/>
          <w:sz w:val="22"/>
          <w:szCs w:val="22"/>
        </w:rPr>
        <w:t>Facebook</w:t>
      </w:r>
      <w:proofErr w:type="spellEnd"/>
      <w:r>
        <w:rPr>
          <w:rFonts w:eastAsia="Times New Roman"/>
          <w:bCs/>
          <w:sz w:val="22"/>
          <w:szCs w:val="22"/>
        </w:rPr>
        <w:t xml:space="preserve"> konts: @IzglitibasKvalitatesValstsDienests</w:t>
      </w:r>
    </w:p>
    <w:p w14:paraId="0F51F8EB" w14:textId="77777777" w:rsidR="00087872" w:rsidRDefault="00256B13">
      <w:pPr>
        <w:pStyle w:val="Virsraksts21"/>
      </w:pPr>
      <w:bookmarkStart w:id="4" w:name="_Toc456012527"/>
      <w:bookmarkStart w:id="5" w:name="_Toc456012640"/>
      <w:bookmarkStart w:id="6" w:name="_Toc139120220"/>
      <w:r>
        <w:t>1.1. Iestādes juridiskais statuss</w:t>
      </w:r>
      <w:bookmarkEnd w:id="4"/>
      <w:bookmarkEnd w:id="5"/>
      <w:bookmarkEnd w:id="6"/>
      <w:r>
        <w:t xml:space="preserve"> </w:t>
      </w:r>
    </w:p>
    <w:p w14:paraId="56C71906" w14:textId="77777777" w:rsidR="00087872" w:rsidRDefault="00256B13">
      <w:r>
        <w:rPr>
          <w:rFonts w:eastAsia="Times New Roman"/>
          <w:sz w:val="22"/>
          <w:szCs w:val="22"/>
        </w:rPr>
        <w:t xml:space="preserve">Izglītības kvalitātes valsts dienests (turpmāk tekstā – arī kvalitātes dienests) ir Izglītības un zinātnes ministrijas (IZM) pārraudzībā esoša tiešās pārvaldes iestāde. </w:t>
      </w:r>
    </w:p>
    <w:p w14:paraId="2F17EA3A" w14:textId="77777777" w:rsidR="00087872" w:rsidRDefault="00256B13">
      <w:r>
        <w:rPr>
          <w:rFonts w:eastAsia="Times New Roman"/>
          <w:sz w:val="22"/>
          <w:szCs w:val="22"/>
        </w:rPr>
        <w:t>Kvalitātes dienests izveidots 2009. gada 1. jūlijā, kvalitātes dienesta vadītāja no 20</w:t>
      </w:r>
      <w:r>
        <w:rPr>
          <w:rFonts w:eastAsia="Times New Roman"/>
          <w:sz w:val="22"/>
          <w:szCs w:val="22"/>
        </w:rPr>
        <w:t xml:space="preserve">12. gada 12. septembra ir Inita Juhņēviča. </w:t>
      </w:r>
    </w:p>
    <w:p w14:paraId="43816DE4" w14:textId="77777777" w:rsidR="00087872" w:rsidRDefault="00256B13">
      <w:pPr>
        <w:pStyle w:val="Virsraksts21"/>
      </w:pPr>
      <w:bookmarkStart w:id="7" w:name="_Toc456012528"/>
      <w:bookmarkStart w:id="8" w:name="_Toc456012641"/>
      <w:bookmarkStart w:id="9" w:name="_Toc139120221"/>
      <w:r>
        <w:t>1.2. Iestādes darbības jomas un funkcijas</w:t>
      </w:r>
      <w:bookmarkEnd w:id="7"/>
      <w:bookmarkEnd w:id="8"/>
      <w:bookmarkEnd w:id="9"/>
      <w:r>
        <w:t xml:space="preserve"> </w:t>
      </w:r>
    </w:p>
    <w:p w14:paraId="57618DDB" w14:textId="77777777" w:rsidR="00087872" w:rsidRDefault="00256B13">
      <w:r>
        <w:rPr>
          <w:rFonts w:eastAsia="Times New Roman"/>
          <w:sz w:val="22"/>
          <w:szCs w:val="22"/>
        </w:rPr>
        <w:t>Kvalitātes dienests veic Izglītības likumā, Starptautisko skolu likumā, Vispārējās izglītības likumā, Profesionālās izglītības likumā, Augstskolu likumā, Bērnu tiesību a</w:t>
      </w:r>
      <w:r>
        <w:rPr>
          <w:rFonts w:eastAsia="Times New Roman"/>
          <w:sz w:val="22"/>
          <w:szCs w:val="22"/>
        </w:rPr>
        <w:t xml:space="preserve">izsardzības likumā, Psihologu likumā, Valsts pārvaldes iekārtas likumā, </w:t>
      </w:r>
      <w:hyperlink r:id="rId11">
        <w:r>
          <w:rPr>
            <w:rFonts w:eastAsia="Times New Roman"/>
            <w:color w:val="500E8D"/>
            <w:sz w:val="22"/>
            <w:szCs w:val="22"/>
          </w:rPr>
          <w:t>Ministru kabineta 2013. gada 23. aprīļa noteikumu</w:t>
        </w:r>
      </w:hyperlink>
      <w:hyperlink r:id="rId12">
        <w:r>
          <w:rPr>
            <w:rFonts w:eastAsia="Times New Roman"/>
            <w:color w:val="500E8D"/>
            <w:sz w:val="22"/>
            <w:szCs w:val="22"/>
          </w:rPr>
          <w:t xml:space="preserve"> Nr.225</w:t>
        </w:r>
      </w:hyperlink>
      <w:r>
        <w:rPr>
          <w:rFonts w:eastAsia="Times New Roman"/>
          <w:sz w:val="22"/>
          <w:szCs w:val="22"/>
        </w:rPr>
        <w:t xml:space="preserve"> „Izglītības kvalitātes valsts dienesta nolikums” un citos normatīvajos aktos tam noteiktās funkcijas un uzdevumus, kā arī kontrolē Izglītības likuma, Vispārējās izglītības likuma, Profesionālās izglītības lik</w:t>
      </w:r>
      <w:r>
        <w:rPr>
          <w:rFonts w:eastAsia="Times New Roman"/>
          <w:sz w:val="22"/>
          <w:szCs w:val="22"/>
        </w:rPr>
        <w:t xml:space="preserve">uma, Augstskolu likuma un citu ar izglītību saistīto normatīvo aktu ievērošanu Latvijas Republikas teritorijā. Kvalitātes dienesta kompetence, kā arī kvalitātes dienesta vadītāja un viņa pilnvaroto dienesta amatpersonu tiesības noteiktas </w:t>
      </w:r>
      <w:hyperlink r:id="rId13" w:anchor="p20" w:history="1">
        <w:r>
          <w:rPr>
            <w:rFonts w:eastAsia="Times New Roman"/>
            <w:color w:val="500E8D"/>
            <w:sz w:val="22"/>
            <w:szCs w:val="22"/>
          </w:rPr>
          <w:t>Izglītības likuma 20.pantā</w:t>
        </w:r>
      </w:hyperlink>
      <w:r>
        <w:rPr>
          <w:rFonts w:eastAsia="Times New Roman"/>
          <w:sz w:val="22"/>
          <w:szCs w:val="22"/>
        </w:rPr>
        <w:t>.</w:t>
      </w:r>
      <w:r>
        <w:rPr>
          <w:rFonts w:eastAsia="Times New Roman"/>
          <w:color w:val="5F5F5F"/>
          <w:sz w:val="22"/>
          <w:szCs w:val="22"/>
        </w:rPr>
        <w:t xml:space="preserve"> </w:t>
      </w:r>
    </w:p>
    <w:p w14:paraId="548BF614" w14:textId="77777777" w:rsidR="00087872" w:rsidRDefault="00256B13">
      <w:pPr>
        <w:spacing w:after="0"/>
      </w:pPr>
      <w:bookmarkStart w:id="10" w:name="_Hlk138696434"/>
      <w:r>
        <w:t xml:space="preserve">Kvalitātes dienesta funkcijas noteiktas </w:t>
      </w:r>
      <w:hyperlink r:id="rId14">
        <w:r>
          <w:rPr>
            <w:rFonts w:eastAsia="Times New Roman"/>
            <w:color w:val="500E8D"/>
            <w:sz w:val="22"/>
            <w:szCs w:val="22"/>
          </w:rPr>
          <w:t>Ministru kabineta 2013. gada 23. aprīļa noteikumu Nr.225</w:t>
        </w:r>
      </w:hyperlink>
      <w:r>
        <w:rPr>
          <w:rFonts w:eastAsia="Times New Roman"/>
          <w:sz w:val="22"/>
          <w:szCs w:val="22"/>
        </w:rPr>
        <w:t xml:space="preserve"> „Izglītības kvalitātes valsts dienesta nolikums” </w:t>
      </w:r>
      <w:bookmarkEnd w:id="10"/>
      <w:r>
        <w:rPr>
          <w:rFonts w:eastAsia="Times New Roman"/>
          <w:sz w:val="22"/>
          <w:szCs w:val="22"/>
        </w:rPr>
        <w:t>3. punktā:</w:t>
      </w:r>
    </w:p>
    <w:p w14:paraId="186C5035" w14:textId="77777777" w:rsidR="00087872" w:rsidRDefault="00256B13">
      <w:pPr>
        <w:numPr>
          <w:ilvl w:val="0"/>
          <w:numId w:val="1"/>
        </w:numPr>
        <w:spacing w:after="0"/>
        <w:ind w:left="357" w:hanging="357"/>
        <w:contextualSpacing/>
      </w:pPr>
      <w:r>
        <w:rPr>
          <w:sz w:val="22"/>
          <w:szCs w:val="22"/>
          <w:lang w:eastAsia="lv-LV"/>
        </w:rPr>
        <w:t>iegūt, apkopot un analizēt izglītības politikas veidošanai un īstenošanai nepieciešamo informāciju;</w:t>
      </w:r>
    </w:p>
    <w:p w14:paraId="0E4DCD29" w14:textId="77777777" w:rsidR="00087872" w:rsidRDefault="00256B13">
      <w:pPr>
        <w:numPr>
          <w:ilvl w:val="0"/>
          <w:numId w:val="1"/>
        </w:numPr>
        <w:ind w:left="357" w:hanging="357"/>
        <w:contextualSpacing/>
      </w:pPr>
      <w:r>
        <w:rPr>
          <w:sz w:val="22"/>
          <w:szCs w:val="22"/>
          <w:lang w:eastAsia="lv-LV"/>
        </w:rPr>
        <w:t xml:space="preserve">reģistrēt izglītības iestādes, tai skaitā </w:t>
      </w:r>
      <w:r>
        <w:rPr>
          <w:sz w:val="22"/>
          <w:szCs w:val="22"/>
          <w:lang w:eastAsia="lv-LV"/>
        </w:rPr>
        <w:t>starptautiskās skolas, kā arī psihologus un bērnu uzraudzības pakalpojuma sniedzējus;</w:t>
      </w:r>
    </w:p>
    <w:p w14:paraId="59C45172" w14:textId="77777777" w:rsidR="00087872" w:rsidRDefault="00256B13">
      <w:pPr>
        <w:numPr>
          <w:ilvl w:val="0"/>
          <w:numId w:val="1"/>
        </w:numPr>
        <w:ind w:left="357" w:hanging="357"/>
        <w:contextualSpacing/>
      </w:pPr>
      <w:r>
        <w:rPr>
          <w:sz w:val="22"/>
          <w:szCs w:val="22"/>
          <w:lang w:eastAsia="lv-LV"/>
        </w:rPr>
        <w:t>licencēt izglītības programmas (izņemot interešu izglītības, neformālās izglītības un augstākās izglītības studiju programmas);</w:t>
      </w:r>
    </w:p>
    <w:p w14:paraId="5B755B0E" w14:textId="77777777" w:rsidR="00087872" w:rsidRDefault="00256B13">
      <w:pPr>
        <w:numPr>
          <w:ilvl w:val="0"/>
          <w:numId w:val="1"/>
        </w:numPr>
        <w:ind w:left="357" w:hanging="357"/>
        <w:contextualSpacing/>
      </w:pPr>
      <w:r>
        <w:rPr>
          <w:sz w:val="22"/>
          <w:szCs w:val="22"/>
          <w:lang w:eastAsia="lv-LV"/>
        </w:rPr>
        <w:t>nodrošināt vispārējās un profesionālās izg</w:t>
      </w:r>
      <w:r>
        <w:rPr>
          <w:sz w:val="22"/>
          <w:szCs w:val="22"/>
          <w:lang w:eastAsia="lv-LV"/>
        </w:rPr>
        <w:t>lītības (izņemot augstāko profesionālo izglītību) kvalitātes novērtēšanu;</w:t>
      </w:r>
    </w:p>
    <w:p w14:paraId="4032FD5B" w14:textId="77777777" w:rsidR="00087872" w:rsidRDefault="00256B13">
      <w:pPr>
        <w:numPr>
          <w:ilvl w:val="0"/>
          <w:numId w:val="1"/>
        </w:numPr>
        <w:ind w:left="357" w:hanging="357"/>
        <w:contextualSpacing/>
      </w:pPr>
      <w:r>
        <w:rPr>
          <w:sz w:val="22"/>
          <w:szCs w:val="22"/>
          <w:lang w:eastAsia="lv-LV"/>
        </w:rPr>
        <w:t>kontrolēt izglītības procesu un sniegt ieteikumus konstatēto trūkumu novēršanai;</w:t>
      </w:r>
    </w:p>
    <w:p w14:paraId="7F2E5AA8" w14:textId="77777777" w:rsidR="00087872" w:rsidRDefault="00256B13">
      <w:pPr>
        <w:numPr>
          <w:ilvl w:val="0"/>
          <w:numId w:val="1"/>
        </w:numPr>
        <w:ind w:left="357" w:hanging="357"/>
        <w:contextualSpacing/>
      </w:pPr>
      <w:r>
        <w:rPr>
          <w:sz w:val="22"/>
          <w:szCs w:val="22"/>
          <w:lang w:eastAsia="lv-LV"/>
        </w:rPr>
        <w:t>izsniegt sertifikātus pedagogu privātprakses uzsākšanai un nodrošināt to uzskaiti;</w:t>
      </w:r>
    </w:p>
    <w:p w14:paraId="3058CDA0" w14:textId="77777777" w:rsidR="00087872" w:rsidRDefault="00256B13">
      <w:pPr>
        <w:numPr>
          <w:ilvl w:val="0"/>
          <w:numId w:val="1"/>
        </w:numPr>
        <w:ind w:left="357" w:hanging="357"/>
        <w:contextualSpacing/>
      </w:pPr>
      <w:r>
        <w:rPr>
          <w:sz w:val="22"/>
          <w:szCs w:val="22"/>
          <w:lang w:eastAsia="lv-LV"/>
        </w:rPr>
        <w:t>veikt sporta speci</w:t>
      </w:r>
      <w:r>
        <w:rPr>
          <w:sz w:val="22"/>
          <w:szCs w:val="22"/>
          <w:lang w:eastAsia="lv-LV"/>
        </w:rPr>
        <w:t>ālistu un sporta izglītības iestāžu darba uzraudzību;</w:t>
      </w:r>
    </w:p>
    <w:p w14:paraId="59D550DC" w14:textId="77777777" w:rsidR="00087872" w:rsidRDefault="00256B13">
      <w:pPr>
        <w:numPr>
          <w:ilvl w:val="0"/>
          <w:numId w:val="1"/>
        </w:numPr>
        <w:ind w:left="357" w:hanging="357"/>
        <w:contextualSpacing/>
      </w:pPr>
      <w:r>
        <w:rPr>
          <w:sz w:val="22"/>
          <w:szCs w:val="22"/>
          <w:lang w:eastAsia="lv-LV"/>
        </w:rPr>
        <w:t>izvērtēt, vai atļauja strādāt par pedagogu personai, kas bijusi sodīta par tīšu noziedzīgu nodarījumu, ja sodāmība ir dzēsta vai noņemta, nekaitēs izglītojamo interesēm;</w:t>
      </w:r>
    </w:p>
    <w:p w14:paraId="678BEAAD" w14:textId="77777777" w:rsidR="00087872" w:rsidRDefault="00256B13">
      <w:pPr>
        <w:numPr>
          <w:ilvl w:val="0"/>
          <w:numId w:val="1"/>
        </w:numPr>
        <w:ind w:left="357" w:hanging="357"/>
      </w:pPr>
      <w:r>
        <w:rPr>
          <w:sz w:val="22"/>
          <w:szCs w:val="22"/>
          <w:lang w:eastAsia="lv-LV"/>
        </w:rPr>
        <w:t>organizēt izglītības iestāžu vad</w:t>
      </w:r>
      <w:r>
        <w:rPr>
          <w:sz w:val="22"/>
          <w:szCs w:val="22"/>
          <w:lang w:eastAsia="lv-LV"/>
        </w:rPr>
        <w:t>ītāju profesionālās darbības novērtēšanu..</w:t>
      </w:r>
    </w:p>
    <w:p w14:paraId="7DB6D81E" w14:textId="77777777" w:rsidR="00087872" w:rsidRDefault="00256B13">
      <w:r>
        <w:rPr>
          <w:sz w:val="22"/>
          <w:szCs w:val="22"/>
          <w:lang w:eastAsia="lv-LV"/>
        </w:rPr>
        <w:t>Ievērojot Psihologu likumā noteikto, no 2018.</w:t>
      </w:r>
      <w:r>
        <w:rPr>
          <w:sz w:val="22"/>
          <w:szCs w:val="22"/>
        </w:rPr>
        <w:t> gada 1. janvāra kvalitātes dienests pilda Psihologu sertifikācijas padomes sekretariāta funkciju</w:t>
      </w:r>
      <w:r>
        <w:rPr>
          <w:sz w:val="22"/>
          <w:szCs w:val="22"/>
          <w:lang w:eastAsia="lv-LV"/>
        </w:rPr>
        <w:t xml:space="preserve">. </w:t>
      </w:r>
    </w:p>
    <w:p w14:paraId="6A8DFEF7" w14:textId="77777777" w:rsidR="00087872" w:rsidRDefault="00256B13">
      <w:pPr>
        <w:pStyle w:val="Virsraksts21"/>
      </w:pPr>
      <w:bookmarkStart w:id="11" w:name="_Toc456012530"/>
      <w:bookmarkStart w:id="12" w:name="_Toc456012643"/>
      <w:bookmarkStart w:id="13" w:name="_Toc139120222"/>
      <w:r>
        <w:t>1.3. Iestādes darbības virzieni un mērķi</w:t>
      </w:r>
      <w:bookmarkEnd w:id="11"/>
      <w:bookmarkEnd w:id="12"/>
      <w:bookmarkEnd w:id="13"/>
      <w:r>
        <w:t xml:space="preserve"> </w:t>
      </w:r>
    </w:p>
    <w:p w14:paraId="647B4489" w14:textId="77777777" w:rsidR="00087872" w:rsidRDefault="00256B13">
      <w:pPr>
        <w:pStyle w:val="Pamatteksts"/>
      </w:pPr>
      <w:r>
        <w:rPr>
          <w:rFonts w:eastAsia="Times New Roman"/>
        </w:rPr>
        <w:t xml:space="preserve">Izglītības kvalitātes valsts dienesta darbības mērķis ir nodrošināt kvalitatīvu un tiesisku izglītību, veicot izglītības kvalitātes monitoringu un sniedzot atbalstu izglītības procesa īstenošanā. </w:t>
      </w:r>
    </w:p>
    <w:p w14:paraId="680130CE" w14:textId="77777777" w:rsidR="00087872" w:rsidRDefault="00256B13">
      <w:pPr>
        <w:pStyle w:val="Pamatteksts"/>
        <w:spacing w:after="0"/>
      </w:pPr>
      <w:r>
        <w:rPr>
          <w:rFonts w:eastAsia="Times New Roman"/>
        </w:rPr>
        <w:t>Lai sasniegtu mērķi, kvalitātes dienests:</w:t>
      </w:r>
    </w:p>
    <w:p w14:paraId="10BA4467" w14:textId="77777777" w:rsidR="00087872" w:rsidRDefault="00256B13">
      <w:pPr>
        <w:numPr>
          <w:ilvl w:val="0"/>
          <w:numId w:val="3"/>
        </w:numPr>
        <w:ind w:left="357" w:hanging="357"/>
        <w:contextualSpacing/>
      </w:pPr>
      <w:r>
        <w:rPr>
          <w:sz w:val="22"/>
          <w:szCs w:val="22"/>
          <w:lang w:eastAsia="lv-LV"/>
        </w:rPr>
        <w:t>veido vienotu vis</w:t>
      </w:r>
      <w:r>
        <w:rPr>
          <w:sz w:val="22"/>
          <w:szCs w:val="22"/>
          <w:lang w:eastAsia="lv-LV"/>
        </w:rPr>
        <w:t xml:space="preserve">u izglītībā iesaistīto pušu izpratni par mūsdienīgas, labas skolas un kvalitatīvas izglītības kritērijiem; </w:t>
      </w:r>
    </w:p>
    <w:p w14:paraId="54DED6AB" w14:textId="77777777" w:rsidR="00087872" w:rsidRDefault="00256B13">
      <w:pPr>
        <w:numPr>
          <w:ilvl w:val="0"/>
          <w:numId w:val="3"/>
        </w:numPr>
        <w:ind w:left="357" w:hanging="357"/>
        <w:contextualSpacing/>
      </w:pPr>
      <w:r>
        <w:rPr>
          <w:sz w:val="22"/>
          <w:szCs w:val="22"/>
          <w:lang w:eastAsia="lv-LV"/>
        </w:rPr>
        <w:t xml:space="preserve">strādā pie visu iesaistīto pušu tiesību, vienlīdzīgas attieksmes, </w:t>
      </w:r>
      <w:proofErr w:type="spellStart"/>
      <w:r>
        <w:rPr>
          <w:sz w:val="22"/>
          <w:szCs w:val="22"/>
          <w:lang w:eastAsia="lv-LV"/>
        </w:rPr>
        <w:t>cieņpilnas</w:t>
      </w:r>
      <w:proofErr w:type="spellEnd"/>
      <w:r>
        <w:rPr>
          <w:sz w:val="22"/>
          <w:szCs w:val="22"/>
          <w:lang w:eastAsia="lv-LV"/>
        </w:rPr>
        <w:t xml:space="preserve"> un koleģiālas sadarbības, godīguma un atbildīguma nodrošināšanas izglīt</w:t>
      </w:r>
      <w:r>
        <w:rPr>
          <w:sz w:val="22"/>
          <w:szCs w:val="22"/>
          <w:lang w:eastAsia="lv-LV"/>
        </w:rPr>
        <w:t xml:space="preserve">ības jomā; </w:t>
      </w:r>
    </w:p>
    <w:p w14:paraId="03DE4141" w14:textId="77777777" w:rsidR="00087872" w:rsidRDefault="00256B13">
      <w:pPr>
        <w:numPr>
          <w:ilvl w:val="0"/>
          <w:numId w:val="3"/>
        </w:numPr>
        <w:spacing w:after="0"/>
        <w:ind w:left="357" w:hanging="357"/>
        <w:contextualSpacing/>
      </w:pPr>
      <w:r>
        <w:rPr>
          <w:sz w:val="22"/>
          <w:szCs w:val="22"/>
          <w:lang w:eastAsia="lv-LV"/>
        </w:rPr>
        <w:t>veic daudzpusīgas darbības izglītības (procesa un rezultāta) kvalitātes uzlabošanai gan atsevišķās izglītības iestādēs, gan visas valsts mērogā;</w:t>
      </w:r>
    </w:p>
    <w:p w14:paraId="007A1A02" w14:textId="77777777" w:rsidR="00087872" w:rsidRDefault="00256B13">
      <w:pPr>
        <w:numPr>
          <w:ilvl w:val="0"/>
          <w:numId w:val="3"/>
        </w:numPr>
        <w:ind w:left="357" w:hanging="357"/>
        <w:contextualSpacing/>
      </w:pPr>
      <w:r>
        <w:rPr>
          <w:sz w:val="22"/>
          <w:szCs w:val="22"/>
          <w:lang w:eastAsia="lv-LV"/>
        </w:rPr>
        <w:t>regulāri pilnveido izglītības iestāžu kvalitātes iekšējās un ārējās vērtēšanas sistēmu;</w:t>
      </w:r>
    </w:p>
    <w:p w14:paraId="67446576" w14:textId="77777777" w:rsidR="00087872" w:rsidRDefault="00256B13">
      <w:pPr>
        <w:numPr>
          <w:ilvl w:val="0"/>
          <w:numId w:val="3"/>
        </w:numPr>
        <w:ind w:left="357" w:hanging="357"/>
        <w:contextualSpacing/>
      </w:pPr>
      <w:r>
        <w:rPr>
          <w:sz w:val="22"/>
          <w:szCs w:val="22"/>
          <w:lang w:eastAsia="lv-LV"/>
        </w:rPr>
        <w:t>sadarbībā a</w:t>
      </w:r>
      <w:r>
        <w:rPr>
          <w:sz w:val="22"/>
          <w:szCs w:val="22"/>
          <w:lang w:eastAsia="lv-LV"/>
        </w:rPr>
        <w:t>r citām valsts pārvaldes iestādēm īsteno un attīsta izglītības kvalitātes monitoringu – regulāri iegūst un apkopo informāciju no izglītības iestādēm un pašvaldībām, to analizējot, izdarot secinājumus, izstrādājot priekšlikumus turpmākai rīcībai, kā arī pub</w:t>
      </w:r>
      <w:r>
        <w:rPr>
          <w:sz w:val="22"/>
          <w:szCs w:val="22"/>
          <w:lang w:eastAsia="lv-LV"/>
        </w:rPr>
        <w:t xml:space="preserve">liskojot ziņojumus par veikto izpēti, secinājumiem un priekšlikumiem; </w:t>
      </w:r>
    </w:p>
    <w:p w14:paraId="45F55C8D" w14:textId="77777777" w:rsidR="00087872" w:rsidRDefault="00256B13">
      <w:pPr>
        <w:numPr>
          <w:ilvl w:val="0"/>
          <w:numId w:val="3"/>
        </w:numPr>
        <w:ind w:left="357" w:hanging="357"/>
        <w:contextualSpacing/>
      </w:pPr>
      <w:r>
        <w:rPr>
          <w:sz w:val="22"/>
          <w:szCs w:val="22"/>
          <w:lang w:eastAsia="lv-LV"/>
        </w:rPr>
        <w:t xml:space="preserve">apkopo un popularizē labāko izglītības praksi, risina </w:t>
      </w:r>
      <w:proofErr w:type="spellStart"/>
      <w:r>
        <w:rPr>
          <w:sz w:val="22"/>
          <w:szCs w:val="22"/>
          <w:lang w:eastAsia="lv-LV"/>
        </w:rPr>
        <w:t>problēmsituācijas</w:t>
      </w:r>
      <w:proofErr w:type="spellEnd"/>
      <w:r>
        <w:rPr>
          <w:sz w:val="22"/>
          <w:szCs w:val="22"/>
          <w:lang w:eastAsia="lv-LV"/>
        </w:rPr>
        <w:t>, profesionāli konsultē, sniedz metodisko atbalstu izglītības pakalpojuma sniedzējiem un citām personām – izglītīb</w:t>
      </w:r>
      <w:r>
        <w:rPr>
          <w:sz w:val="22"/>
          <w:szCs w:val="22"/>
          <w:lang w:eastAsia="lv-LV"/>
        </w:rPr>
        <w:t>as iestāžu vadītājiem, pedagogiem, psihologiem, izglītojamajiem, viņu vecākiem, bērnu uzraudzības pakalpojuma sniedzējiem u.c.</w:t>
      </w:r>
    </w:p>
    <w:p w14:paraId="70EC55C0" w14:textId="77777777" w:rsidR="00087872" w:rsidRDefault="00256B13">
      <w:pPr>
        <w:pStyle w:val="Virsraksts21"/>
      </w:pPr>
      <w:bookmarkStart w:id="14" w:name="_Toc456012531"/>
      <w:bookmarkStart w:id="15" w:name="_Toc456012644"/>
      <w:bookmarkStart w:id="16" w:name="_Toc139120223"/>
      <w:r>
        <w:t>1.4. Pārskata gada galvenie uzdevumi</w:t>
      </w:r>
      <w:bookmarkEnd w:id="14"/>
      <w:bookmarkEnd w:id="15"/>
      <w:bookmarkEnd w:id="16"/>
      <w:r>
        <w:t xml:space="preserve"> </w:t>
      </w:r>
    </w:p>
    <w:p w14:paraId="35A2A05C" w14:textId="77777777" w:rsidR="00087872" w:rsidRDefault="00256B13">
      <w:pPr>
        <w:spacing w:after="0"/>
        <w:ind w:left="284" w:hanging="284"/>
        <w:contextualSpacing/>
      </w:pPr>
      <w:r>
        <w:rPr>
          <w:rFonts w:eastAsia="Times New Roman"/>
          <w:sz w:val="22"/>
          <w:szCs w:val="22"/>
        </w:rPr>
        <w:t xml:space="preserve">Atbilstoši darbības mērķim kvalitātes dienests 2022. gadā izvirzīja virkni darba </w:t>
      </w:r>
      <w:r>
        <w:rPr>
          <w:rFonts w:eastAsia="Times New Roman"/>
          <w:sz w:val="22"/>
          <w:szCs w:val="22"/>
        </w:rPr>
        <w:t>uzdevumu, tai skaitā:</w:t>
      </w:r>
    </w:p>
    <w:p w14:paraId="3AEEBBC5" w14:textId="77777777" w:rsidR="00087872" w:rsidRDefault="00256B13">
      <w:pPr>
        <w:pStyle w:val="Sarakstarindkopa"/>
        <w:numPr>
          <w:ilvl w:val="0"/>
          <w:numId w:val="2"/>
        </w:numPr>
        <w:spacing w:after="0"/>
      </w:pPr>
      <w:r>
        <w:rPr>
          <w:rFonts w:ascii="Times New Roman" w:hAnsi="Times New Roman"/>
        </w:rPr>
        <w:t>Pilnveidot reģistrācijas, licencēšanas un akreditācijas procesus sabalansētai un jēgpilnai izglītības kvalitātes vērtēšanai</w:t>
      </w:r>
      <w:r>
        <w:rPr>
          <w:rFonts w:ascii="Times New Roman" w:eastAsia="Times New Roman" w:hAnsi="Times New Roman"/>
          <w:color w:val="000000"/>
        </w:rPr>
        <w:t>;</w:t>
      </w:r>
    </w:p>
    <w:p w14:paraId="73A63FF1" w14:textId="77777777" w:rsidR="00087872" w:rsidRDefault="00256B13">
      <w:pPr>
        <w:pStyle w:val="Sarakstarindkopa"/>
        <w:numPr>
          <w:ilvl w:val="0"/>
          <w:numId w:val="2"/>
        </w:numPr>
        <w:spacing w:after="0"/>
      </w:pPr>
      <w:r>
        <w:rPr>
          <w:rFonts w:ascii="Times New Roman" w:hAnsi="Times New Roman"/>
        </w:rPr>
        <w:t>Piedalīties Izglītības likuma un Profesionālās izglītības likuma grozījumu izstrādē, izstrādāt jaunu regulēju</w:t>
      </w:r>
      <w:r>
        <w:rPr>
          <w:rFonts w:ascii="Times New Roman" w:hAnsi="Times New Roman"/>
        </w:rPr>
        <w:t>mu kvalitātes dienesta kompetences jautājumos, tostarp jaunus izglītības iestāžu reģistrācijas un izglītības programmu licencēšanas noteikumus, izstrādāt normatīvo regulējumu izglītības iestāžu institucionālās akreditācijas īstenošanai, pilnveidot izglītīb</w:t>
      </w:r>
      <w:r>
        <w:rPr>
          <w:rFonts w:ascii="Times New Roman" w:hAnsi="Times New Roman"/>
        </w:rPr>
        <w:t>as iestāžu vadītāju profesionālās darbības novērtēšanas regulējumu;</w:t>
      </w:r>
    </w:p>
    <w:p w14:paraId="4BEFF66A" w14:textId="77777777" w:rsidR="00087872" w:rsidRDefault="00256B13">
      <w:pPr>
        <w:pStyle w:val="Sarakstarindkopa"/>
        <w:numPr>
          <w:ilvl w:val="0"/>
          <w:numId w:val="2"/>
        </w:numPr>
        <w:spacing w:after="0"/>
      </w:pPr>
      <w:r>
        <w:rPr>
          <w:rFonts w:ascii="Times New Roman" w:hAnsi="Times New Roman"/>
        </w:rPr>
        <w:t>Pilnveidot vai izstrādāt jaunus kvalitātes dienesta darbu regulējošos normatīvos aktus un iekšējās procedūras, tostarp pilnveidot kvalitātes dienesta nolikumu, kvalitātes dienesta maksas c</w:t>
      </w:r>
      <w:r>
        <w:rPr>
          <w:rFonts w:ascii="Times New Roman" w:hAnsi="Times New Roman"/>
        </w:rPr>
        <w:t>enrādi, izstrādāt jaunus kvalitātes dienesta departamentu reglamentus;</w:t>
      </w:r>
    </w:p>
    <w:p w14:paraId="4FCD0FB5" w14:textId="77777777" w:rsidR="00087872" w:rsidRDefault="00256B13">
      <w:pPr>
        <w:pStyle w:val="Sarakstarindkopa"/>
        <w:numPr>
          <w:ilvl w:val="0"/>
          <w:numId w:val="2"/>
        </w:numPr>
        <w:spacing w:after="0"/>
      </w:pPr>
      <w:r>
        <w:rPr>
          <w:rFonts w:ascii="Times New Roman" w:hAnsi="Times New Roman"/>
        </w:rPr>
        <w:t>Pilnveidot akreditācijas procesu izglītības kvalitātes nodrošināšanai, tostarp pilnveidot akreditācijas ekspertu darba kvalitāti un sagatavot jaunus akreditācijas ekspertus;</w:t>
      </w:r>
    </w:p>
    <w:p w14:paraId="08E06C5F" w14:textId="77777777" w:rsidR="00087872" w:rsidRDefault="00256B13">
      <w:pPr>
        <w:pStyle w:val="Sarakstarindkopa"/>
        <w:numPr>
          <w:ilvl w:val="0"/>
          <w:numId w:val="2"/>
        </w:numPr>
        <w:spacing w:after="0"/>
      </w:pPr>
      <w:r>
        <w:rPr>
          <w:rFonts w:ascii="Times New Roman" w:hAnsi="Times New Roman"/>
        </w:rPr>
        <w:t xml:space="preserve">Izveidot </w:t>
      </w:r>
      <w:proofErr w:type="spellStart"/>
      <w:r>
        <w:rPr>
          <w:rFonts w:ascii="Times New Roman" w:hAnsi="Times New Roman"/>
        </w:rPr>
        <w:t>pē</w:t>
      </w:r>
      <w:r>
        <w:rPr>
          <w:rFonts w:ascii="Times New Roman" w:hAnsi="Times New Roman"/>
        </w:rPr>
        <w:t>cakreditācijas</w:t>
      </w:r>
      <w:proofErr w:type="spellEnd"/>
      <w:r>
        <w:rPr>
          <w:rFonts w:ascii="Times New Roman" w:hAnsi="Times New Roman"/>
        </w:rPr>
        <w:t xml:space="preserve"> monitoringu, analizējot izglītības iestāžu pašvērtējumu ziņojumus un informāciju par akreditācijas ekspertu ieteikumu izpildi, kā arī īstenojot izglītības iestāžu apmeklējumus;</w:t>
      </w:r>
    </w:p>
    <w:p w14:paraId="24AA3548" w14:textId="77777777" w:rsidR="00087872" w:rsidRDefault="00256B13">
      <w:pPr>
        <w:pStyle w:val="Sarakstarindkopa"/>
        <w:numPr>
          <w:ilvl w:val="0"/>
          <w:numId w:val="2"/>
        </w:numPr>
        <w:spacing w:after="0"/>
      </w:pPr>
      <w:r>
        <w:rPr>
          <w:rFonts w:ascii="Times New Roman" w:hAnsi="Times New Roman"/>
        </w:rPr>
        <w:t>Paaugstināt datu drošticamību Izglītības iestāžu un izglītības p</w:t>
      </w:r>
      <w:r>
        <w:rPr>
          <w:rFonts w:ascii="Times New Roman" w:hAnsi="Times New Roman"/>
        </w:rPr>
        <w:t>rogrammu reģistrā;</w:t>
      </w:r>
    </w:p>
    <w:p w14:paraId="30CACA8C" w14:textId="77777777" w:rsidR="00087872" w:rsidRDefault="00256B13">
      <w:pPr>
        <w:pStyle w:val="Sarakstarindkopa"/>
        <w:numPr>
          <w:ilvl w:val="0"/>
          <w:numId w:val="2"/>
        </w:numPr>
        <w:spacing w:after="0"/>
      </w:pPr>
      <w:r>
        <w:rPr>
          <w:rFonts w:ascii="Times New Roman" w:hAnsi="Times New Roman"/>
        </w:rPr>
        <w:t>Pastiprināt izglītības kvalitātes un tiesiskuma monitoringu izglītības iestāžu darbībā;</w:t>
      </w:r>
    </w:p>
    <w:p w14:paraId="6EC929F5" w14:textId="77777777" w:rsidR="00087872" w:rsidRDefault="00256B13">
      <w:pPr>
        <w:pStyle w:val="Sarakstarindkopa"/>
        <w:numPr>
          <w:ilvl w:val="0"/>
          <w:numId w:val="2"/>
        </w:numPr>
        <w:spacing w:after="0"/>
      </w:pPr>
      <w:r>
        <w:rPr>
          <w:rFonts w:ascii="Times New Roman" w:hAnsi="Times New Roman"/>
        </w:rPr>
        <w:t>Īstenot profesionālās tālākizglītības un profesionālās pilnveides izglītības iestāžu sniegto pakalpojumu bezdarbniekiem un darba meklētājiem īstenoša</w:t>
      </w:r>
      <w:r>
        <w:rPr>
          <w:rFonts w:ascii="Times New Roman" w:hAnsi="Times New Roman"/>
        </w:rPr>
        <w:t>nas uzraudzību;</w:t>
      </w:r>
    </w:p>
    <w:p w14:paraId="365B98AF" w14:textId="77777777" w:rsidR="00087872" w:rsidRDefault="00256B13">
      <w:pPr>
        <w:pStyle w:val="Sarakstarindkopa"/>
        <w:numPr>
          <w:ilvl w:val="0"/>
          <w:numId w:val="2"/>
        </w:numPr>
        <w:spacing w:after="0"/>
      </w:pPr>
      <w:r>
        <w:rPr>
          <w:rFonts w:ascii="Times New Roman" w:hAnsi="Times New Roman"/>
        </w:rPr>
        <w:t xml:space="preserve">Īstenot regulāru izglītības kvalitātes monitoringu, izmantojot izglītības iestāžu </w:t>
      </w:r>
      <w:proofErr w:type="spellStart"/>
      <w:r>
        <w:rPr>
          <w:rFonts w:ascii="Times New Roman" w:hAnsi="Times New Roman"/>
        </w:rPr>
        <w:t>pašvērtēšanā</w:t>
      </w:r>
      <w:proofErr w:type="spellEnd"/>
      <w:r>
        <w:rPr>
          <w:rFonts w:ascii="Times New Roman" w:hAnsi="Times New Roman"/>
        </w:rPr>
        <w:t>, izglītības iestāžu un izglītības programmu akreditācijā un izglītības iestāžu vadītāju profesionālās darbības novērtēšanā iegūtos datus un infor</w:t>
      </w:r>
      <w:r>
        <w:rPr>
          <w:rFonts w:ascii="Times New Roman" w:hAnsi="Times New Roman"/>
        </w:rPr>
        <w:t>māciju;</w:t>
      </w:r>
    </w:p>
    <w:p w14:paraId="72FD5500" w14:textId="77777777" w:rsidR="00087872" w:rsidRDefault="00256B13">
      <w:pPr>
        <w:pStyle w:val="Sarakstarindkopa"/>
        <w:numPr>
          <w:ilvl w:val="0"/>
          <w:numId w:val="2"/>
        </w:numPr>
        <w:spacing w:after="0"/>
      </w:pPr>
      <w:r>
        <w:rPr>
          <w:rFonts w:ascii="Times New Roman" w:hAnsi="Times New Roman"/>
        </w:rPr>
        <w:t xml:space="preserve">Pilnveidot izglītības iestāžu </w:t>
      </w:r>
      <w:proofErr w:type="spellStart"/>
      <w:r>
        <w:rPr>
          <w:rFonts w:ascii="Times New Roman" w:hAnsi="Times New Roman"/>
        </w:rPr>
        <w:t>pašvērtēšanas</w:t>
      </w:r>
      <w:proofErr w:type="spellEnd"/>
      <w:r>
        <w:rPr>
          <w:rFonts w:ascii="Times New Roman" w:hAnsi="Times New Roman"/>
        </w:rPr>
        <w:t xml:space="preserve"> procesu, nodrošinot vadlīniju par izglītības kvalitātes nodrošināšanu vispārējā un profesionālajā izglītībā sekmīgu ieviešanu;</w:t>
      </w:r>
    </w:p>
    <w:p w14:paraId="7BB2E29F" w14:textId="77777777" w:rsidR="00087872" w:rsidRDefault="00256B13">
      <w:pPr>
        <w:pStyle w:val="Sarakstarindkopa"/>
        <w:numPr>
          <w:ilvl w:val="0"/>
          <w:numId w:val="2"/>
        </w:numPr>
        <w:spacing w:after="0"/>
      </w:pPr>
      <w:r>
        <w:rPr>
          <w:rFonts w:ascii="Times New Roman" w:hAnsi="Times New Roman"/>
        </w:rPr>
        <w:t xml:space="preserve">Attīstīt </w:t>
      </w:r>
      <w:proofErr w:type="spellStart"/>
      <w:r>
        <w:rPr>
          <w:rFonts w:ascii="Times New Roman" w:hAnsi="Times New Roman"/>
        </w:rPr>
        <w:t>starpinstitucionālo</w:t>
      </w:r>
      <w:proofErr w:type="spellEnd"/>
      <w:r>
        <w:rPr>
          <w:rFonts w:ascii="Times New Roman" w:hAnsi="Times New Roman"/>
        </w:rPr>
        <w:t xml:space="preserve"> sadarbību un atbalstu priekšlaicīgas mācību pārt</w:t>
      </w:r>
      <w:r>
        <w:rPr>
          <w:rFonts w:ascii="Times New Roman" w:hAnsi="Times New Roman"/>
        </w:rPr>
        <w:t>raukšanas mazināšanai.</w:t>
      </w:r>
      <w:r>
        <w:br w:type="page"/>
      </w:r>
    </w:p>
    <w:p w14:paraId="18ACF742" w14:textId="77777777" w:rsidR="00087872" w:rsidRDefault="00256B13">
      <w:pPr>
        <w:pStyle w:val="Virsraksts11"/>
      </w:pPr>
      <w:bookmarkStart w:id="17" w:name="_Toc456012532"/>
      <w:bookmarkStart w:id="18" w:name="_Toc456012645"/>
      <w:bookmarkStart w:id="19" w:name="_Toc139120224"/>
      <w:r>
        <w:t>II. FINANŠU RESURSI UN DARBĪBAS REZULTĀTI</w:t>
      </w:r>
      <w:bookmarkEnd w:id="17"/>
      <w:bookmarkEnd w:id="18"/>
      <w:bookmarkEnd w:id="19"/>
      <w:r>
        <w:t xml:space="preserve"> </w:t>
      </w:r>
    </w:p>
    <w:p w14:paraId="3E965E71" w14:textId="77777777" w:rsidR="00087872" w:rsidRDefault="00256B13">
      <w:pPr>
        <w:pStyle w:val="Virsraksts21"/>
      </w:pPr>
      <w:bookmarkStart w:id="20" w:name="_Toc139120225"/>
      <w:r>
        <w:t>2.1. Valsts budžeta finansējums un tā izlietojums</w:t>
      </w:r>
      <w:bookmarkEnd w:id="20"/>
      <w:r>
        <w:t xml:space="preserve"> </w:t>
      </w:r>
    </w:p>
    <w:p w14:paraId="29B1E91F" w14:textId="77777777" w:rsidR="00087872" w:rsidRDefault="00256B13">
      <w:pPr>
        <w:pStyle w:val="Pamatteksts"/>
      </w:pPr>
      <w:r>
        <w:t>Kvalitātes dienesta budžets 2021. gadā veidojies no 5 budžeta programmām/apakšprogrammām. Pamata budžeta apakšprogramma ir 42.07.00 „Izglī</w:t>
      </w:r>
      <w:r>
        <w:t xml:space="preserve">tības kvalitātes valsts dienesta darbības nodrošināšana”. Šīs apakšprogrammas budžeta izpilde atbilstoši ieņēmumu un izdevumu sadalījumam, salīdzinot ar finansēšanas plānu un iepriekšējo pārskata gadu aplūkojama 1. tabulā. </w:t>
      </w:r>
    </w:p>
    <w:p w14:paraId="29491C76" w14:textId="77777777" w:rsidR="00087872" w:rsidRDefault="00256B13">
      <w:pPr>
        <w:pStyle w:val="Pamatteksts"/>
      </w:pPr>
      <w:r>
        <w:t>Kvalitātes dienesta budžetu veid</w:t>
      </w:r>
      <w:r>
        <w:t xml:space="preserve">o arī finansējums ESF projektu īstenošanai jeb programma 63.08.00. Šīs programmas ietvaros kvalitātes dienests īsteno ESF projektu </w:t>
      </w:r>
      <w:proofErr w:type="spellStart"/>
      <w:r>
        <w:t>PuMPuRS</w:t>
      </w:r>
      <w:proofErr w:type="spellEnd"/>
      <w:r>
        <w:t>, kā arī ir sadarbības partneris projektā SAM 8.5.2 "Nodrošināt profesionālās izglītības atbilstību Eiropas kvalifikāc</w:t>
      </w:r>
      <w:r>
        <w:t xml:space="preserve">ijas </w:t>
      </w:r>
      <w:proofErr w:type="spellStart"/>
      <w:r>
        <w:t>ietvarstruktūrai</w:t>
      </w:r>
      <w:proofErr w:type="spellEnd"/>
      <w:r>
        <w:t xml:space="preserve">" un projektā SAM 8.3.6.2 "Izglītības kvalitātes monitoringa sistēmas izveide un projektam SAM 7.1.1. “Atbalsts bezdarbnieku izglītībai”. Kvalitātes dienesta budžetu veido arī projekta </w:t>
      </w:r>
      <w:proofErr w:type="spellStart"/>
      <w:r>
        <w:t>Erasmus</w:t>
      </w:r>
      <w:proofErr w:type="spellEnd"/>
      <w:r>
        <w:t xml:space="preserve"> + programmas finansējums, kas tiek īstenot</w:t>
      </w:r>
      <w:r>
        <w:t>s no 70.11.00 budžeta apakšprogrammas. Lai nodrošinātu pedagogu profesionālo pilnveidi, kvalitātes dienestam tika piešķirti līdzekļi budžeta apakšprogrammas 01.11.00 „Pedagogu profesionālās kompetences pilnveidošana” ietvaros 80 600 EUR apmērā, kuri tika i</w:t>
      </w:r>
      <w:r>
        <w:t>zlietoti kursu organizēšanai.</w:t>
      </w:r>
    </w:p>
    <w:p w14:paraId="74D5984E" w14:textId="77777777" w:rsidR="00087872" w:rsidRDefault="00256B13">
      <w:pPr>
        <w:spacing w:after="0" w:line="240" w:lineRule="auto"/>
        <w:jc w:val="right"/>
      </w:pPr>
      <w:r>
        <w:rPr>
          <w:rFonts w:eastAsia="Times New Roman"/>
          <w:i/>
          <w:iCs/>
          <w:color w:val="000000"/>
          <w:sz w:val="22"/>
          <w:szCs w:val="22"/>
          <w:lang w:eastAsia="lv-LV"/>
        </w:rPr>
        <w:t xml:space="preserve">1. tabula </w:t>
      </w:r>
    </w:p>
    <w:p w14:paraId="4140E671" w14:textId="77777777" w:rsidR="00087872" w:rsidRDefault="00256B13">
      <w:pPr>
        <w:spacing w:after="120"/>
        <w:jc w:val="center"/>
      </w:pPr>
      <w:r>
        <w:rPr>
          <w:rFonts w:eastAsia="Times New Roman"/>
          <w:i/>
          <w:color w:val="000000"/>
          <w:sz w:val="22"/>
          <w:szCs w:val="22"/>
          <w:lang w:eastAsia="lv-LV"/>
        </w:rPr>
        <w:t>Finanšu līdzekļu izlietojums pamata budžeta apakšprogrammā 2022. gadā</w:t>
      </w:r>
    </w:p>
    <w:p w14:paraId="71D54B7F" w14:textId="77777777" w:rsidR="00087872" w:rsidRDefault="00256B13">
      <w:pPr>
        <w:spacing w:after="0" w:line="240" w:lineRule="auto"/>
        <w:jc w:val="left"/>
      </w:pPr>
      <w:r>
        <w:rPr>
          <w:rFonts w:eastAsia="Times New Roman"/>
          <w:i/>
          <w:iCs/>
          <w:color w:val="000000"/>
          <w:lang w:eastAsia="lv-LV"/>
        </w:rPr>
        <w:t xml:space="preserve"> </w:t>
      </w:r>
    </w:p>
    <w:tbl>
      <w:tblPr>
        <w:tblW w:w="9351" w:type="dxa"/>
        <w:tblLayout w:type="fixed"/>
        <w:tblCellMar>
          <w:left w:w="5" w:type="dxa"/>
          <w:right w:w="5" w:type="dxa"/>
        </w:tblCellMar>
        <w:tblLook w:val="04A0" w:firstRow="1" w:lastRow="0" w:firstColumn="1" w:lastColumn="0" w:noHBand="0" w:noVBand="1"/>
      </w:tblPr>
      <w:tblGrid>
        <w:gridCol w:w="762"/>
        <w:gridCol w:w="3344"/>
        <w:gridCol w:w="1700"/>
        <w:gridCol w:w="1556"/>
        <w:gridCol w:w="1989"/>
      </w:tblGrid>
      <w:tr w:rsidR="00087872" w14:paraId="4D633CCE" w14:textId="77777777">
        <w:trPr>
          <w:trHeight w:val="389"/>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EBE4E29" w14:textId="77777777" w:rsidR="00087872" w:rsidRDefault="00087872">
            <w:pPr>
              <w:widowControl w:val="0"/>
              <w:spacing w:after="0" w:line="288" w:lineRule="exact"/>
              <w:ind w:left="80"/>
              <w:jc w:val="left"/>
              <w:rPr>
                <w:b/>
                <w:sz w:val="22"/>
                <w:szCs w:val="22"/>
                <w:lang w:eastAsia="lv-LV"/>
              </w:rPr>
            </w:pPr>
          </w:p>
          <w:p w14:paraId="05C93AAA" w14:textId="77777777" w:rsidR="00087872" w:rsidRDefault="00256B13">
            <w:pPr>
              <w:widowControl w:val="0"/>
              <w:spacing w:after="0" w:line="288" w:lineRule="exact"/>
              <w:ind w:left="80"/>
              <w:jc w:val="left"/>
              <w:rPr>
                <w:b/>
                <w:sz w:val="22"/>
                <w:szCs w:val="22"/>
              </w:rPr>
            </w:pPr>
            <w:r>
              <w:rPr>
                <w:b/>
                <w:sz w:val="22"/>
                <w:szCs w:val="22"/>
                <w:lang w:eastAsia="lv-LV"/>
              </w:rPr>
              <w:t>Nr. p.k.</w:t>
            </w:r>
          </w:p>
        </w:tc>
        <w:tc>
          <w:tcPr>
            <w:tcW w:w="334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3DC2EFA" w14:textId="77777777" w:rsidR="00087872" w:rsidRDefault="00087872">
            <w:pPr>
              <w:widowControl w:val="0"/>
              <w:spacing w:after="0" w:line="240" w:lineRule="auto"/>
              <w:ind w:left="540"/>
              <w:jc w:val="left"/>
              <w:rPr>
                <w:b/>
                <w:sz w:val="22"/>
                <w:szCs w:val="22"/>
                <w:lang w:eastAsia="lv-LV"/>
              </w:rPr>
            </w:pPr>
          </w:p>
          <w:p w14:paraId="0102EE89" w14:textId="77777777" w:rsidR="00087872" w:rsidRDefault="00087872">
            <w:pPr>
              <w:widowControl w:val="0"/>
              <w:spacing w:after="0" w:line="240" w:lineRule="auto"/>
              <w:ind w:left="540"/>
              <w:jc w:val="left"/>
              <w:rPr>
                <w:b/>
                <w:sz w:val="22"/>
                <w:szCs w:val="22"/>
                <w:lang w:eastAsia="lv-LV"/>
              </w:rPr>
            </w:pPr>
          </w:p>
          <w:p w14:paraId="6885BCB5" w14:textId="77777777" w:rsidR="00087872" w:rsidRDefault="00256B13">
            <w:pPr>
              <w:widowControl w:val="0"/>
              <w:spacing w:after="0" w:line="240" w:lineRule="auto"/>
              <w:ind w:left="540"/>
              <w:jc w:val="left"/>
              <w:rPr>
                <w:b/>
                <w:sz w:val="22"/>
                <w:szCs w:val="22"/>
                <w:lang w:eastAsia="lv-LV"/>
              </w:rPr>
            </w:pPr>
            <w:r>
              <w:rPr>
                <w:b/>
                <w:sz w:val="22"/>
                <w:szCs w:val="22"/>
                <w:lang w:eastAsia="lv-LV"/>
              </w:rPr>
              <w:t>Finanšu līdzekļi</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DA55BC5" w14:textId="77777777" w:rsidR="00087872" w:rsidRDefault="00087872">
            <w:pPr>
              <w:widowControl w:val="0"/>
              <w:spacing w:after="0" w:line="288" w:lineRule="exact"/>
              <w:jc w:val="center"/>
              <w:rPr>
                <w:b/>
                <w:sz w:val="22"/>
                <w:szCs w:val="22"/>
                <w:lang w:eastAsia="lv-LV"/>
              </w:rPr>
            </w:pPr>
          </w:p>
          <w:p w14:paraId="7BBE8F12" w14:textId="77777777" w:rsidR="00087872" w:rsidRDefault="00256B13">
            <w:pPr>
              <w:widowControl w:val="0"/>
              <w:spacing w:after="0" w:line="288" w:lineRule="exact"/>
              <w:jc w:val="center"/>
              <w:rPr>
                <w:b/>
                <w:sz w:val="22"/>
                <w:szCs w:val="22"/>
                <w:lang w:eastAsia="lv-LV"/>
              </w:rPr>
            </w:pPr>
            <w:r>
              <w:rPr>
                <w:b/>
                <w:sz w:val="22"/>
                <w:szCs w:val="22"/>
                <w:lang w:eastAsia="lv-LV"/>
              </w:rPr>
              <w:t>Iepriekšējā gadā (faktiskā izpilde)</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883A524" w14:textId="77777777" w:rsidR="00087872" w:rsidRDefault="00256B13">
            <w:pPr>
              <w:widowControl w:val="0"/>
              <w:spacing w:after="0" w:line="240" w:lineRule="auto"/>
              <w:ind w:left="520"/>
              <w:jc w:val="left"/>
              <w:rPr>
                <w:b/>
                <w:sz w:val="22"/>
                <w:szCs w:val="22"/>
                <w:lang w:eastAsia="lv-LV"/>
              </w:rPr>
            </w:pPr>
            <w:r>
              <w:rPr>
                <w:b/>
                <w:sz w:val="22"/>
                <w:szCs w:val="22"/>
                <w:lang w:eastAsia="lv-LV"/>
              </w:rPr>
              <w:t>Pārskata gadā</w:t>
            </w:r>
          </w:p>
        </w:tc>
      </w:tr>
      <w:tr w:rsidR="00087872" w14:paraId="2FC610F7" w14:textId="77777777">
        <w:trPr>
          <w:trHeight w:val="578"/>
        </w:trPr>
        <w:tc>
          <w:tcPr>
            <w:tcW w:w="762" w:type="dxa"/>
            <w:vMerge/>
            <w:tcBorders>
              <w:top w:val="single" w:sz="4" w:space="0" w:color="000000"/>
              <w:left w:val="single" w:sz="4" w:space="0" w:color="000000"/>
              <w:bottom w:val="single" w:sz="4" w:space="0" w:color="000000"/>
              <w:right w:val="single" w:sz="4" w:space="0" w:color="000000"/>
            </w:tcBorders>
            <w:vAlign w:val="center"/>
          </w:tcPr>
          <w:p w14:paraId="732085CC" w14:textId="77777777" w:rsidR="00087872" w:rsidRDefault="00087872">
            <w:pPr>
              <w:widowControl w:val="0"/>
              <w:spacing w:after="0"/>
              <w:jc w:val="left"/>
              <w:rPr>
                <w:b/>
                <w:sz w:val="22"/>
                <w:szCs w:val="22"/>
              </w:rPr>
            </w:pPr>
          </w:p>
        </w:tc>
        <w:tc>
          <w:tcPr>
            <w:tcW w:w="3344" w:type="dxa"/>
            <w:vMerge/>
            <w:tcBorders>
              <w:top w:val="single" w:sz="4" w:space="0" w:color="000000"/>
              <w:left w:val="single" w:sz="4" w:space="0" w:color="000000"/>
              <w:bottom w:val="single" w:sz="4" w:space="0" w:color="000000"/>
              <w:right w:val="single" w:sz="4" w:space="0" w:color="000000"/>
            </w:tcBorders>
            <w:vAlign w:val="center"/>
          </w:tcPr>
          <w:p w14:paraId="41B9D094" w14:textId="77777777" w:rsidR="00087872" w:rsidRDefault="00087872">
            <w:pPr>
              <w:widowControl w:val="0"/>
              <w:spacing w:after="0"/>
              <w:jc w:val="left"/>
              <w:rPr>
                <w:b/>
                <w:sz w:val="22"/>
                <w:szCs w:val="22"/>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1083A625" w14:textId="77777777" w:rsidR="00087872" w:rsidRDefault="00087872">
            <w:pPr>
              <w:widowControl w:val="0"/>
              <w:spacing w:after="0"/>
              <w:jc w:val="left"/>
              <w:rPr>
                <w:b/>
                <w:sz w:val="22"/>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25898DE5" w14:textId="77777777" w:rsidR="00087872" w:rsidRDefault="00256B13">
            <w:pPr>
              <w:widowControl w:val="0"/>
              <w:spacing w:after="0" w:line="283" w:lineRule="exact"/>
              <w:jc w:val="center"/>
              <w:rPr>
                <w:b/>
                <w:sz w:val="22"/>
                <w:szCs w:val="22"/>
                <w:lang w:eastAsia="lv-LV"/>
              </w:rPr>
            </w:pPr>
            <w:r>
              <w:rPr>
                <w:b/>
                <w:sz w:val="22"/>
                <w:szCs w:val="22"/>
                <w:lang w:eastAsia="lv-LV"/>
              </w:rPr>
              <w:t>apstiprināts likumā</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2915435D" w14:textId="77777777" w:rsidR="00087872" w:rsidRDefault="00256B13">
            <w:pPr>
              <w:widowControl w:val="0"/>
              <w:spacing w:after="0" w:line="283" w:lineRule="exact"/>
              <w:ind w:left="60"/>
              <w:jc w:val="left"/>
              <w:rPr>
                <w:b/>
                <w:sz w:val="22"/>
                <w:szCs w:val="22"/>
                <w:lang w:eastAsia="lv-LV"/>
              </w:rPr>
            </w:pPr>
            <w:r>
              <w:rPr>
                <w:b/>
                <w:sz w:val="22"/>
                <w:szCs w:val="22"/>
                <w:lang w:eastAsia="lv-LV"/>
              </w:rPr>
              <w:t>faktiskā izpilde</w:t>
            </w:r>
          </w:p>
        </w:tc>
      </w:tr>
      <w:tr w:rsidR="00087872" w14:paraId="47DD5797" w14:textId="77777777">
        <w:trPr>
          <w:trHeight w:val="676"/>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5C85A6D3" w14:textId="77777777" w:rsidR="00087872" w:rsidRDefault="00256B13">
            <w:pPr>
              <w:widowControl w:val="0"/>
              <w:spacing w:after="0" w:line="240" w:lineRule="auto"/>
              <w:ind w:left="80"/>
              <w:jc w:val="left"/>
              <w:rPr>
                <w:sz w:val="22"/>
                <w:szCs w:val="22"/>
                <w:lang w:eastAsia="lv-LV"/>
              </w:rPr>
            </w:pPr>
            <w:r>
              <w:rPr>
                <w:sz w:val="22"/>
                <w:szCs w:val="22"/>
                <w:lang w:eastAsia="lv-LV"/>
              </w:rPr>
              <w:t>1.</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0E5DD75B" w14:textId="77777777" w:rsidR="00087872" w:rsidRDefault="00256B13">
            <w:pPr>
              <w:widowControl w:val="0"/>
              <w:spacing w:after="0" w:line="293" w:lineRule="exact"/>
              <w:ind w:left="40"/>
              <w:jc w:val="left"/>
              <w:rPr>
                <w:sz w:val="22"/>
                <w:szCs w:val="22"/>
                <w:lang w:eastAsia="lv-LV"/>
              </w:rPr>
            </w:pPr>
            <w:r>
              <w:rPr>
                <w:sz w:val="22"/>
                <w:szCs w:val="22"/>
                <w:lang w:eastAsia="lv-LV"/>
              </w:rPr>
              <w:t xml:space="preserve">Finanšu </w:t>
            </w:r>
            <w:r>
              <w:rPr>
                <w:sz w:val="22"/>
                <w:szCs w:val="22"/>
                <w:lang w:eastAsia="lv-LV"/>
              </w:rPr>
              <w:t>resursi izdevumu segšanai (kopā)</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411B6459" w14:textId="77777777" w:rsidR="00087872" w:rsidRDefault="00256B13">
            <w:pPr>
              <w:widowControl w:val="0"/>
              <w:spacing w:after="0" w:line="240" w:lineRule="auto"/>
              <w:jc w:val="center"/>
              <w:rPr>
                <w:sz w:val="22"/>
                <w:szCs w:val="22"/>
                <w:lang w:eastAsia="lv-LV"/>
              </w:rPr>
            </w:pPr>
            <w:r>
              <w:rPr>
                <w:sz w:val="22"/>
                <w:szCs w:val="22"/>
                <w:lang w:eastAsia="lv-LV"/>
              </w:rPr>
              <w:t>1308162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52E57D34" w14:textId="77777777" w:rsidR="00087872" w:rsidRDefault="00256B13">
            <w:pPr>
              <w:widowControl w:val="0"/>
              <w:spacing w:after="0" w:line="240" w:lineRule="auto"/>
              <w:ind w:left="40"/>
              <w:jc w:val="center"/>
              <w:rPr>
                <w:sz w:val="22"/>
                <w:szCs w:val="22"/>
                <w:lang w:eastAsia="lv-LV"/>
              </w:rPr>
            </w:pPr>
            <w:r>
              <w:rPr>
                <w:sz w:val="22"/>
                <w:szCs w:val="22"/>
                <w:lang w:eastAsia="lv-LV"/>
              </w:rPr>
              <w:t>2003349</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490109AF" w14:textId="77777777" w:rsidR="00087872" w:rsidRDefault="00256B13">
            <w:pPr>
              <w:widowControl w:val="0"/>
              <w:spacing w:after="0" w:line="240" w:lineRule="auto"/>
              <w:ind w:left="60"/>
              <w:jc w:val="center"/>
              <w:rPr>
                <w:sz w:val="22"/>
                <w:szCs w:val="22"/>
                <w:lang w:eastAsia="lv-LV"/>
              </w:rPr>
            </w:pPr>
            <w:r>
              <w:rPr>
                <w:sz w:val="22"/>
                <w:szCs w:val="22"/>
                <w:lang w:eastAsia="lv-LV"/>
              </w:rPr>
              <w:t>1384661</w:t>
            </w:r>
          </w:p>
        </w:tc>
      </w:tr>
      <w:tr w:rsidR="00087872" w14:paraId="13BAF2CB" w14:textId="77777777">
        <w:trPr>
          <w:trHeight w:val="434"/>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11760D9B" w14:textId="77777777" w:rsidR="00087872" w:rsidRDefault="00256B13">
            <w:pPr>
              <w:widowControl w:val="0"/>
              <w:spacing w:after="0" w:line="240" w:lineRule="auto"/>
              <w:ind w:left="80"/>
              <w:jc w:val="left"/>
              <w:rPr>
                <w:sz w:val="22"/>
                <w:szCs w:val="22"/>
                <w:lang w:eastAsia="lv-LV"/>
              </w:rPr>
            </w:pPr>
            <w:r>
              <w:rPr>
                <w:sz w:val="22"/>
                <w:szCs w:val="22"/>
                <w:lang w:eastAsia="lv-LV"/>
              </w:rPr>
              <w:t>1.1.</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78F4AD4D" w14:textId="77777777" w:rsidR="00087872" w:rsidRDefault="00256B13">
            <w:pPr>
              <w:widowControl w:val="0"/>
              <w:spacing w:after="0" w:line="240" w:lineRule="auto"/>
              <w:ind w:left="40"/>
              <w:jc w:val="left"/>
              <w:rPr>
                <w:sz w:val="22"/>
                <w:szCs w:val="22"/>
                <w:lang w:eastAsia="lv-LV"/>
              </w:rPr>
            </w:pPr>
            <w:r>
              <w:rPr>
                <w:sz w:val="22"/>
                <w:szCs w:val="22"/>
                <w:lang w:eastAsia="lv-LV"/>
              </w:rPr>
              <w:t>dotācijas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5DA95370" w14:textId="77777777" w:rsidR="00087872" w:rsidRDefault="00256B13">
            <w:pPr>
              <w:widowControl w:val="0"/>
              <w:spacing w:after="0" w:line="240" w:lineRule="auto"/>
              <w:jc w:val="center"/>
              <w:rPr>
                <w:sz w:val="22"/>
                <w:szCs w:val="22"/>
                <w:lang w:eastAsia="lv-LV"/>
              </w:rPr>
            </w:pPr>
            <w:r>
              <w:rPr>
                <w:sz w:val="22"/>
                <w:szCs w:val="22"/>
                <w:lang w:eastAsia="lv-LV"/>
              </w:rPr>
              <w:t>781090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43F2E241" w14:textId="77777777" w:rsidR="00087872" w:rsidRDefault="00256B13">
            <w:pPr>
              <w:widowControl w:val="0"/>
              <w:spacing w:after="0" w:line="240" w:lineRule="auto"/>
              <w:ind w:left="40"/>
              <w:jc w:val="center"/>
              <w:rPr>
                <w:sz w:val="22"/>
                <w:szCs w:val="22"/>
                <w:lang w:eastAsia="lv-LV"/>
              </w:rPr>
            </w:pPr>
            <w:r>
              <w:rPr>
                <w:sz w:val="22"/>
                <w:szCs w:val="22"/>
                <w:lang w:eastAsia="lv-LV"/>
              </w:rPr>
              <w:t>795075</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57DEA709" w14:textId="77777777" w:rsidR="00087872" w:rsidRDefault="00256B13">
            <w:pPr>
              <w:widowControl w:val="0"/>
              <w:spacing w:after="0" w:line="240" w:lineRule="auto"/>
              <w:ind w:left="60"/>
              <w:jc w:val="center"/>
              <w:rPr>
                <w:sz w:val="22"/>
                <w:szCs w:val="22"/>
                <w:lang w:eastAsia="lv-LV"/>
              </w:rPr>
            </w:pPr>
            <w:r>
              <w:rPr>
                <w:sz w:val="22"/>
                <w:szCs w:val="22"/>
                <w:lang w:eastAsia="lv-LV"/>
              </w:rPr>
              <w:t>795075</w:t>
            </w:r>
          </w:p>
        </w:tc>
      </w:tr>
      <w:tr w:rsidR="00087872" w14:paraId="5474A39D" w14:textId="77777777">
        <w:trPr>
          <w:trHeight w:val="643"/>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06010627" w14:textId="77777777" w:rsidR="00087872" w:rsidRDefault="00256B13">
            <w:pPr>
              <w:widowControl w:val="0"/>
              <w:spacing w:after="0" w:line="240" w:lineRule="auto"/>
              <w:ind w:left="80"/>
              <w:jc w:val="left"/>
              <w:rPr>
                <w:sz w:val="22"/>
                <w:szCs w:val="22"/>
                <w:lang w:eastAsia="lv-LV"/>
              </w:rPr>
            </w:pPr>
            <w:r>
              <w:rPr>
                <w:sz w:val="22"/>
                <w:szCs w:val="22"/>
                <w:lang w:eastAsia="lv-LV"/>
              </w:rPr>
              <w:t>1.2.</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7055C6AE" w14:textId="77777777" w:rsidR="00087872" w:rsidRDefault="00256B13">
            <w:pPr>
              <w:widowControl w:val="0"/>
              <w:spacing w:after="0" w:line="288" w:lineRule="exact"/>
              <w:ind w:left="40"/>
              <w:jc w:val="left"/>
              <w:rPr>
                <w:sz w:val="22"/>
                <w:szCs w:val="22"/>
                <w:lang w:eastAsia="lv-LV"/>
              </w:rPr>
            </w:pPr>
            <w:r>
              <w:rPr>
                <w:sz w:val="22"/>
                <w:szCs w:val="22"/>
                <w:lang w:eastAsia="lv-LV"/>
              </w:rPr>
              <w:t>maksas pakalpojumi un citi pašu ieņēmumi</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25B3EA1D" w14:textId="77777777" w:rsidR="00087872" w:rsidRDefault="00256B13">
            <w:pPr>
              <w:widowControl w:val="0"/>
              <w:spacing w:after="0" w:line="240" w:lineRule="auto"/>
              <w:jc w:val="center"/>
              <w:rPr>
                <w:sz w:val="22"/>
                <w:szCs w:val="22"/>
                <w:lang w:eastAsia="lv-LV"/>
              </w:rPr>
            </w:pPr>
            <w:r>
              <w:rPr>
                <w:sz w:val="22"/>
                <w:szCs w:val="22"/>
                <w:lang w:eastAsia="lv-LV"/>
              </w:rPr>
              <w:t>527072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02291967" w14:textId="77777777" w:rsidR="00087872" w:rsidRDefault="00256B13">
            <w:pPr>
              <w:widowControl w:val="0"/>
              <w:spacing w:after="0" w:line="240" w:lineRule="auto"/>
              <w:ind w:left="40"/>
              <w:jc w:val="center"/>
              <w:rPr>
                <w:sz w:val="22"/>
                <w:szCs w:val="22"/>
                <w:lang w:eastAsia="lv-LV"/>
              </w:rPr>
            </w:pPr>
            <w:r>
              <w:rPr>
                <w:sz w:val="22"/>
                <w:szCs w:val="22"/>
                <w:lang w:eastAsia="lv-LV"/>
              </w:rPr>
              <w:t>1208274</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7DC0471A" w14:textId="77777777" w:rsidR="00087872" w:rsidRDefault="00256B13">
            <w:pPr>
              <w:widowControl w:val="0"/>
              <w:spacing w:after="0" w:line="240" w:lineRule="auto"/>
              <w:ind w:left="60"/>
              <w:jc w:val="center"/>
              <w:rPr>
                <w:sz w:val="22"/>
                <w:szCs w:val="22"/>
                <w:lang w:eastAsia="lv-LV"/>
              </w:rPr>
            </w:pPr>
            <w:r>
              <w:rPr>
                <w:sz w:val="22"/>
                <w:szCs w:val="22"/>
                <w:lang w:eastAsia="lv-LV"/>
              </w:rPr>
              <w:t>589586</w:t>
            </w:r>
          </w:p>
        </w:tc>
      </w:tr>
      <w:tr w:rsidR="00087872" w14:paraId="7384C9EE" w14:textId="77777777">
        <w:trPr>
          <w:trHeight w:val="409"/>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19B58F7C" w14:textId="77777777" w:rsidR="00087872" w:rsidRDefault="00256B13">
            <w:pPr>
              <w:widowControl w:val="0"/>
              <w:spacing w:after="0" w:line="240" w:lineRule="auto"/>
              <w:ind w:left="80"/>
              <w:jc w:val="left"/>
              <w:rPr>
                <w:sz w:val="22"/>
                <w:szCs w:val="22"/>
                <w:lang w:eastAsia="lv-LV"/>
              </w:rPr>
            </w:pPr>
            <w:r>
              <w:rPr>
                <w:sz w:val="22"/>
                <w:szCs w:val="22"/>
                <w:lang w:eastAsia="lv-LV"/>
              </w:rPr>
              <w:t>1.3.</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654E4C88" w14:textId="77777777" w:rsidR="00087872" w:rsidRDefault="00256B13">
            <w:pPr>
              <w:widowControl w:val="0"/>
              <w:spacing w:after="0" w:line="288" w:lineRule="exact"/>
              <w:ind w:left="40"/>
              <w:jc w:val="left"/>
              <w:rPr>
                <w:sz w:val="22"/>
                <w:szCs w:val="22"/>
                <w:lang w:eastAsia="lv-LV"/>
              </w:rPr>
            </w:pPr>
            <w:r>
              <w:rPr>
                <w:sz w:val="22"/>
                <w:szCs w:val="22"/>
                <w:lang w:eastAsia="lv-LV"/>
              </w:rPr>
              <w:t>ārvalstu finanšu palīdzība</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07DAD800" w14:textId="77777777" w:rsidR="00087872" w:rsidRDefault="00256B13">
            <w:pPr>
              <w:widowControl w:val="0"/>
              <w:spacing w:after="0" w:line="240" w:lineRule="auto"/>
              <w:jc w:val="center"/>
              <w:rPr>
                <w:sz w:val="22"/>
                <w:szCs w:val="22"/>
                <w:lang w:eastAsia="lv-LV"/>
              </w:rPr>
            </w:pPr>
            <w:r>
              <w:rPr>
                <w:sz w:val="22"/>
                <w:szCs w:val="22"/>
                <w:lang w:eastAsia="lv-LV"/>
              </w:rPr>
              <w:t>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719D1C43" w14:textId="77777777" w:rsidR="00087872" w:rsidRDefault="00256B13">
            <w:pPr>
              <w:widowControl w:val="0"/>
              <w:spacing w:after="0" w:line="240" w:lineRule="auto"/>
              <w:ind w:left="40"/>
              <w:jc w:val="center"/>
              <w:rPr>
                <w:sz w:val="22"/>
                <w:szCs w:val="22"/>
                <w:lang w:eastAsia="lv-LV"/>
              </w:rPr>
            </w:pPr>
            <w:r>
              <w:rPr>
                <w:sz w:val="22"/>
                <w:szCs w:val="22"/>
                <w:lang w:eastAsia="lv-LV"/>
              </w:rPr>
              <w:t>0</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3352333F" w14:textId="77777777" w:rsidR="00087872" w:rsidRDefault="00256B13">
            <w:pPr>
              <w:widowControl w:val="0"/>
              <w:spacing w:after="0" w:line="240" w:lineRule="auto"/>
              <w:ind w:left="60"/>
              <w:jc w:val="center"/>
              <w:rPr>
                <w:sz w:val="22"/>
                <w:szCs w:val="22"/>
                <w:lang w:eastAsia="lv-LV"/>
              </w:rPr>
            </w:pPr>
            <w:r>
              <w:rPr>
                <w:sz w:val="22"/>
                <w:szCs w:val="22"/>
                <w:lang w:eastAsia="lv-LV"/>
              </w:rPr>
              <w:t>0</w:t>
            </w:r>
          </w:p>
        </w:tc>
      </w:tr>
      <w:tr w:rsidR="00087872" w14:paraId="18A84216" w14:textId="77777777">
        <w:trPr>
          <w:trHeight w:val="494"/>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4843ABB1" w14:textId="77777777" w:rsidR="00087872" w:rsidRDefault="00256B13">
            <w:pPr>
              <w:widowControl w:val="0"/>
              <w:spacing w:after="0" w:line="240" w:lineRule="auto"/>
              <w:ind w:left="80"/>
              <w:jc w:val="left"/>
              <w:rPr>
                <w:sz w:val="22"/>
                <w:szCs w:val="22"/>
                <w:lang w:eastAsia="lv-LV"/>
              </w:rPr>
            </w:pPr>
            <w:r>
              <w:rPr>
                <w:sz w:val="22"/>
                <w:szCs w:val="22"/>
                <w:lang w:eastAsia="lv-LV"/>
              </w:rPr>
              <w:t>2.</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671E856F" w14:textId="77777777" w:rsidR="00087872" w:rsidRDefault="00256B13">
            <w:pPr>
              <w:widowControl w:val="0"/>
              <w:spacing w:after="0" w:line="240" w:lineRule="auto"/>
              <w:ind w:left="40"/>
              <w:jc w:val="left"/>
              <w:rPr>
                <w:sz w:val="22"/>
                <w:szCs w:val="22"/>
                <w:lang w:eastAsia="lv-LV"/>
              </w:rPr>
            </w:pPr>
            <w:r>
              <w:rPr>
                <w:sz w:val="22"/>
                <w:szCs w:val="22"/>
                <w:lang w:eastAsia="lv-LV"/>
              </w:rPr>
              <w:t>Izdevumi (kopā)</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18F1CEE4" w14:textId="77777777" w:rsidR="00087872" w:rsidRDefault="00256B13">
            <w:pPr>
              <w:widowControl w:val="0"/>
              <w:spacing w:after="0" w:line="240" w:lineRule="auto"/>
              <w:jc w:val="center"/>
              <w:rPr>
                <w:sz w:val="22"/>
                <w:szCs w:val="22"/>
                <w:lang w:eastAsia="lv-LV"/>
              </w:rPr>
            </w:pPr>
            <w:r>
              <w:rPr>
                <w:sz w:val="22"/>
                <w:szCs w:val="22"/>
                <w:lang w:eastAsia="lv-LV"/>
              </w:rPr>
              <w:t>1367813</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0F9AB2F5" w14:textId="77777777" w:rsidR="00087872" w:rsidRDefault="00256B13">
            <w:pPr>
              <w:widowControl w:val="0"/>
              <w:spacing w:after="0" w:line="240" w:lineRule="auto"/>
              <w:ind w:left="40"/>
              <w:jc w:val="center"/>
              <w:rPr>
                <w:sz w:val="22"/>
                <w:szCs w:val="22"/>
                <w:lang w:eastAsia="lv-LV"/>
              </w:rPr>
            </w:pPr>
            <w:r>
              <w:rPr>
                <w:sz w:val="22"/>
                <w:szCs w:val="22"/>
                <w:lang w:eastAsia="lv-LV"/>
              </w:rPr>
              <w:t>2055200</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3CD02856" w14:textId="77777777" w:rsidR="00087872" w:rsidRDefault="00256B13">
            <w:pPr>
              <w:widowControl w:val="0"/>
              <w:spacing w:after="0" w:line="240" w:lineRule="auto"/>
              <w:ind w:left="60"/>
              <w:jc w:val="center"/>
              <w:rPr>
                <w:sz w:val="22"/>
                <w:szCs w:val="22"/>
                <w:lang w:eastAsia="lv-LV"/>
              </w:rPr>
            </w:pPr>
            <w:r>
              <w:rPr>
                <w:sz w:val="22"/>
                <w:szCs w:val="22"/>
                <w:lang w:eastAsia="lv-LV"/>
              </w:rPr>
              <w:t>1387427</w:t>
            </w:r>
          </w:p>
        </w:tc>
      </w:tr>
      <w:tr w:rsidR="00087872" w14:paraId="310DD11F" w14:textId="77777777">
        <w:trPr>
          <w:trHeight w:val="397"/>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09FC0D7A" w14:textId="77777777" w:rsidR="00087872" w:rsidRDefault="00256B13">
            <w:pPr>
              <w:widowControl w:val="0"/>
              <w:spacing w:after="0" w:line="240" w:lineRule="auto"/>
              <w:ind w:left="80"/>
              <w:jc w:val="left"/>
              <w:rPr>
                <w:sz w:val="22"/>
                <w:szCs w:val="22"/>
                <w:lang w:eastAsia="lv-LV"/>
              </w:rPr>
            </w:pPr>
            <w:r>
              <w:rPr>
                <w:sz w:val="22"/>
                <w:szCs w:val="22"/>
                <w:lang w:eastAsia="lv-LV"/>
              </w:rPr>
              <w:t>2.1.</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259DBFBD" w14:textId="77777777" w:rsidR="00087872" w:rsidRDefault="00256B13">
            <w:pPr>
              <w:widowControl w:val="0"/>
              <w:spacing w:after="0" w:line="293" w:lineRule="exact"/>
              <w:ind w:left="40"/>
              <w:jc w:val="left"/>
              <w:rPr>
                <w:sz w:val="22"/>
                <w:szCs w:val="22"/>
                <w:lang w:eastAsia="lv-LV"/>
              </w:rPr>
            </w:pPr>
            <w:r>
              <w:rPr>
                <w:sz w:val="22"/>
                <w:szCs w:val="22"/>
                <w:lang w:eastAsia="lv-LV"/>
              </w:rPr>
              <w:t>uzturēšanas izdevumi (kopā)</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2FD174E7" w14:textId="77777777" w:rsidR="00087872" w:rsidRDefault="00256B13">
            <w:pPr>
              <w:widowControl w:val="0"/>
              <w:spacing w:after="0" w:line="240" w:lineRule="auto"/>
              <w:jc w:val="center"/>
              <w:rPr>
                <w:sz w:val="22"/>
                <w:szCs w:val="22"/>
                <w:lang w:eastAsia="lv-LV"/>
              </w:rPr>
            </w:pPr>
            <w:r>
              <w:rPr>
                <w:sz w:val="22"/>
                <w:szCs w:val="22"/>
                <w:lang w:eastAsia="lv-LV"/>
              </w:rPr>
              <w:t>1349635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117E8116" w14:textId="77777777" w:rsidR="00087872" w:rsidRDefault="00256B13">
            <w:pPr>
              <w:widowControl w:val="0"/>
              <w:spacing w:after="0" w:line="240" w:lineRule="auto"/>
              <w:ind w:left="40"/>
              <w:jc w:val="center"/>
              <w:rPr>
                <w:sz w:val="22"/>
                <w:szCs w:val="22"/>
                <w:lang w:eastAsia="lv-LV"/>
              </w:rPr>
            </w:pPr>
            <w:r>
              <w:rPr>
                <w:sz w:val="22"/>
                <w:szCs w:val="22"/>
                <w:lang w:eastAsia="lv-LV"/>
              </w:rPr>
              <w:t>2037700</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3D2AE130" w14:textId="77777777" w:rsidR="00087872" w:rsidRDefault="00256B13">
            <w:pPr>
              <w:widowControl w:val="0"/>
              <w:spacing w:after="0" w:line="240" w:lineRule="auto"/>
              <w:ind w:left="60"/>
              <w:jc w:val="center"/>
              <w:rPr>
                <w:sz w:val="22"/>
                <w:szCs w:val="22"/>
                <w:lang w:eastAsia="lv-LV"/>
              </w:rPr>
            </w:pPr>
            <w:r>
              <w:rPr>
                <w:sz w:val="22"/>
                <w:szCs w:val="22"/>
                <w:lang w:eastAsia="lv-LV"/>
              </w:rPr>
              <w:t>1369927</w:t>
            </w:r>
          </w:p>
        </w:tc>
      </w:tr>
      <w:tr w:rsidR="00087872" w14:paraId="08AAE95A" w14:textId="77777777">
        <w:trPr>
          <w:trHeight w:val="1002"/>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7A1C4E33" w14:textId="77777777" w:rsidR="00087872" w:rsidRDefault="00256B13">
            <w:pPr>
              <w:widowControl w:val="0"/>
              <w:spacing w:after="0" w:line="240" w:lineRule="auto"/>
              <w:ind w:left="80"/>
              <w:jc w:val="left"/>
              <w:rPr>
                <w:sz w:val="22"/>
                <w:szCs w:val="22"/>
                <w:lang w:eastAsia="lv-LV"/>
              </w:rPr>
            </w:pPr>
            <w:r>
              <w:rPr>
                <w:sz w:val="22"/>
                <w:szCs w:val="22"/>
                <w:lang w:eastAsia="lv-LV"/>
              </w:rPr>
              <w:t>2.1.1.</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2AF106B8" w14:textId="77777777" w:rsidR="00087872" w:rsidRDefault="00256B13">
            <w:pPr>
              <w:widowControl w:val="0"/>
              <w:spacing w:after="0" w:line="293" w:lineRule="exact"/>
              <w:ind w:left="40"/>
              <w:jc w:val="left"/>
              <w:rPr>
                <w:sz w:val="22"/>
                <w:szCs w:val="22"/>
                <w:lang w:eastAsia="lv-LV"/>
              </w:rPr>
            </w:pPr>
            <w:r>
              <w:rPr>
                <w:sz w:val="22"/>
                <w:szCs w:val="22"/>
                <w:lang w:eastAsia="lv-LV"/>
              </w:rPr>
              <w:t>subsīdijas un dotācijas, tai skaitā iemaksas starptautiskajās organizācijās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7B9B94FC" w14:textId="77777777" w:rsidR="00087872" w:rsidRDefault="00256B13">
            <w:pPr>
              <w:widowControl w:val="0"/>
              <w:spacing w:after="0" w:line="240" w:lineRule="auto"/>
              <w:jc w:val="center"/>
              <w:rPr>
                <w:sz w:val="22"/>
                <w:szCs w:val="22"/>
                <w:lang w:eastAsia="lv-LV"/>
              </w:rPr>
            </w:pPr>
            <w:r>
              <w:rPr>
                <w:sz w:val="22"/>
                <w:szCs w:val="22"/>
                <w:lang w:eastAsia="lv-LV"/>
              </w:rPr>
              <w:t>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1AAF8714" w14:textId="77777777" w:rsidR="00087872" w:rsidRDefault="00256B13">
            <w:pPr>
              <w:widowControl w:val="0"/>
              <w:spacing w:after="0" w:line="240" w:lineRule="auto"/>
              <w:ind w:left="40"/>
              <w:jc w:val="center"/>
              <w:rPr>
                <w:sz w:val="22"/>
                <w:szCs w:val="22"/>
                <w:lang w:eastAsia="lv-LV"/>
              </w:rPr>
            </w:pPr>
            <w:r>
              <w:rPr>
                <w:sz w:val="22"/>
                <w:szCs w:val="22"/>
                <w:lang w:eastAsia="lv-LV"/>
              </w:rPr>
              <w:t>0</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5ADDC3BC" w14:textId="77777777" w:rsidR="00087872" w:rsidRDefault="00256B13">
            <w:pPr>
              <w:widowControl w:val="0"/>
              <w:spacing w:after="0" w:line="240" w:lineRule="auto"/>
              <w:ind w:left="60"/>
              <w:jc w:val="center"/>
              <w:rPr>
                <w:sz w:val="22"/>
                <w:szCs w:val="22"/>
                <w:lang w:eastAsia="lv-LV"/>
              </w:rPr>
            </w:pPr>
            <w:r>
              <w:rPr>
                <w:sz w:val="22"/>
                <w:szCs w:val="22"/>
                <w:lang w:eastAsia="lv-LV"/>
              </w:rPr>
              <w:t>0</w:t>
            </w:r>
          </w:p>
        </w:tc>
      </w:tr>
      <w:tr w:rsidR="00087872" w14:paraId="7D9A2994" w14:textId="77777777">
        <w:trPr>
          <w:trHeight w:val="420"/>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1FC6E44F" w14:textId="77777777" w:rsidR="00087872" w:rsidRDefault="00256B13">
            <w:pPr>
              <w:widowControl w:val="0"/>
              <w:spacing w:after="0" w:line="240" w:lineRule="auto"/>
              <w:ind w:left="80"/>
              <w:jc w:val="left"/>
              <w:rPr>
                <w:sz w:val="22"/>
                <w:szCs w:val="22"/>
                <w:lang w:eastAsia="lv-LV"/>
              </w:rPr>
            </w:pPr>
            <w:r>
              <w:rPr>
                <w:sz w:val="22"/>
                <w:szCs w:val="22"/>
                <w:lang w:eastAsia="lv-LV"/>
              </w:rPr>
              <w:t>2.1.2.</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2C317089" w14:textId="77777777" w:rsidR="00087872" w:rsidRDefault="00256B13">
            <w:pPr>
              <w:widowControl w:val="0"/>
              <w:spacing w:after="0" w:line="288" w:lineRule="exact"/>
              <w:ind w:left="40"/>
              <w:jc w:val="left"/>
              <w:rPr>
                <w:sz w:val="22"/>
                <w:szCs w:val="22"/>
                <w:lang w:eastAsia="lv-LV"/>
              </w:rPr>
            </w:pPr>
            <w:r>
              <w:rPr>
                <w:sz w:val="22"/>
                <w:szCs w:val="22"/>
                <w:lang w:eastAsia="lv-LV"/>
              </w:rPr>
              <w:t>pārējie uzturēšanas izdevumi</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7FB6F655" w14:textId="77777777" w:rsidR="00087872" w:rsidRDefault="00256B13">
            <w:pPr>
              <w:widowControl w:val="0"/>
              <w:spacing w:after="0" w:line="240" w:lineRule="auto"/>
              <w:jc w:val="center"/>
              <w:rPr>
                <w:sz w:val="22"/>
                <w:szCs w:val="22"/>
                <w:lang w:eastAsia="lv-LV"/>
              </w:rPr>
            </w:pPr>
            <w:r>
              <w:rPr>
                <w:sz w:val="22"/>
                <w:szCs w:val="22"/>
                <w:lang w:eastAsia="lv-LV"/>
              </w:rPr>
              <w:t>1349635</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29150E6C" w14:textId="77777777" w:rsidR="00087872" w:rsidRDefault="00256B13">
            <w:pPr>
              <w:widowControl w:val="0"/>
              <w:spacing w:after="0" w:line="240" w:lineRule="auto"/>
              <w:ind w:left="40"/>
              <w:jc w:val="center"/>
              <w:rPr>
                <w:sz w:val="22"/>
                <w:szCs w:val="22"/>
                <w:lang w:eastAsia="lv-LV"/>
              </w:rPr>
            </w:pPr>
            <w:r>
              <w:rPr>
                <w:sz w:val="22"/>
                <w:szCs w:val="22"/>
                <w:lang w:eastAsia="lv-LV"/>
              </w:rPr>
              <w:t>2037700</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27D6FC4F" w14:textId="77777777" w:rsidR="00087872" w:rsidRDefault="00256B13">
            <w:pPr>
              <w:widowControl w:val="0"/>
              <w:tabs>
                <w:tab w:val="left" w:pos="510"/>
                <w:tab w:val="center" w:pos="670"/>
              </w:tabs>
              <w:spacing w:after="0" w:line="240" w:lineRule="auto"/>
              <w:ind w:left="60"/>
              <w:jc w:val="center"/>
              <w:rPr>
                <w:sz w:val="22"/>
                <w:szCs w:val="22"/>
                <w:lang w:eastAsia="lv-LV"/>
              </w:rPr>
            </w:pPr>
            <w:r>
              <w:rPr>
                <w:sz w:val="22"/>
                <w:szCs w:val="22"/>
                <w:lang w:eastAsia="lv-LV"/>
              </w:rPr>
              <w:t>1369927</w:t>
            </w:r>
          </w:p>
        </w:tc>
      </w:tr>
      <w:tr w:rsidR="00087872" w14:paraId="392E1817" w14:textId="77777777">
        <w:trPr>
          <w:trHeight w:val="662"/>
        </w:trPr>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1E3A0C87" w14:textId="77777777" w:rsidR="00087872" w:rsidRDefault="00256B13">
            <w:pPr>
              <w:widowControl w:val="0"/>
              <w:spacing w:after="0" w:line="240" w:lineRule="auto"/>
              <w:ind w:left="80"/>
              <w:jc w:val="left"/>
              <w:rPr>
                <w:sz w:val="22"/>
                <w:szCs w:val="22"/>
                <w:lang w:eastAsia="lv-LV"/>
              </w:rPr>
            </w:pPr>
            <w:r>
              <w:rPr>
                <w:sz w:val="22"/>
                <w:szCs w:val="22"/>
                <w:lang w:eastAsia="lv-LV"/>
              </w:rPr>
              <w:t>2.2.</w:t>
            </w:r>
          </w:p>
        </w:tc>
        <w:tc>
          <w:tcPr>
            <w:tcW w:w="3344" w:type="dxa"/>
            <w:tcBorders>
              <w:top w:val="single" w:sz="4" w:space="0" w:color="000000"/>
              <w:left w:val="single" w:sz="4" w:space="0" w:color="000000"/>
              <w:bottom w:val="single" w:sz="4" w:space="0" w:color="000000"/>
              <w:right w:val="single" w:sz="4" w:space="0" w:color="000000"/>
            </w:tcBorders>
            <w:shd w:val="clear" w:color="auto" w:fill="FFFFFF"/>
          </w:tcPr>
          <w:p w14:paraId="33FF50F7" w14:textId="77777777" w:rsidR="00087872" w:rsidRDefault="00256B13">
            <w:pPr>
              <w:widowControl w:val="0"/>
              <w:spacing w:after="60" w:line="240" w:lineRule="auto"/>
              <w:ind w:left="40"/>
              <w:jc w:val="left"/>
              <w:rPr>
                <w:sz w:val="22"/>
                <w:szCs w:val="22"/>
                <w:lang w:eastAsia="lv-LV"/>
              </w:rPr>
            </w:pPr>
            <w:r>
              <w:rPr>
                <w:sz w:val="22"/>
                <w:szCs w:val="22"/>
                <w:lang w:eastAsia="lv-LV"/>
              </w:rPr>
              <w:t>izdevumi</w:t>
            </w:r>
          </w:p>
          <w:p w14:paraId="64D1D6DD" w14:textId="77777777" w:rsidR="00087872" w:rsidRDefault="00256B13">
            <w:pPr>
              <w:widowControl w:val="0"/>
              <w:spacing w:before="60" w:after="0" w:line="240" w:lineRule="auto"/>
              <w:ind w:left="40"/>
              <w:jc w:val="left"/>
              <w:rPr>
                <w:sz w:val="22"/>
                <w:szCs w:val="22"/>
                <w:lang w:eastAsia="lv-LV"/>
              </w:rPr>
            </w:pPr>
            <w:r>
              <w:rPr>
                <w:sz w:val="22"/>
                <w:szCs w:val="22"/>
                <w:lang w:eastAsia="lv-LV"/>
              </w:rPr>
              <w:t>kapitālieguldījumiem</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612CD2E5" w14:textId="77777777" w:rsidR="00087872" w:rsidRDefault="00256B13">
            <w:pPr>
              <w:widowControl w:val="0"/>
              <w:spacing w:after="0" w:line="240" w:lineRule="auto"/>
              <w:jc w:val="center"/>
              <w:rPr>
                <w:sz w:val="22"/>
                <w:szCs w:val="22"/>
                <w:lang w:eastAsia="lv-LV"/>
              </w:rPr>
            </w:pPr>
            <w:r>
              <w:rPr>
                <w:sz w:val="22"/>
                <w:szCs w:val="22"/>
                <w:lang w:eastAsia="lv-LV"/>
              </w:rPr>
              <w:t>18178</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14:paraId="0FA389A4" w14:textId="77777777" w:rsidR="00087872" w:rsidRDefault="00256B13">
            <w:pPr>
              <w:widowControl w:val="0"/>
              <w:spacing w:after="0"/>
              <w:jc w:val="center"/>
              <w:rPr>
                <w:rFonts w:eastAsia="Times New Roman"/>
                <w:sz w:val="22"/>
                <w:szCs w:val="22"/>
                <w:lang w:eastAsia="lv-LV"/>
              </w:rPr>
            </w:pPr>
            <w:r>
              <w:rPr>
                <w:rFonts w:eastAsia="Times New Roman"/>
                <w:sz w:val="22"/>
                <w:szCs w:val="22"/>
                <w:lang w:eastAsia="lv-LV"/>
              </w:rPr>
              <w:t>17500</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14:paraId="0FE40204" w14:textId="77777777" w:rsidR="00087872" w:rsidRDefault="00256B13">
            <w:pPr>
              <w:widowControl w:val="0"/>
              <w:spacing w:after="0" w:line="240" w:lineRule="auto"/>
              <w:ind w:left="60"/>
              <w:jc w:val="center"/>
              <w:rPr>
                <w:sz w:val="22"/>
                <w:szCs w:val="22"/>
                <w:lang w:eastAsia="lv-LV"/>
              </w:rPr>
            </w:pPr>
            <w:r>
              <w:rPr>
                <w:sz w:val="22"/>
                <w:szCs w:val="22"/>
                <w:lang w:eastAsia="lv-LV"/>
              </w:rPr>
              <w:t>17500</w:t>
            </w:r>
          </w:p>
        </w:tc>
      </w:tr>
    </w:tbl>
    <w:p w14:paraId="385EEC85" w14:textId="77777777" w:rsidR="00087872" w:rsidRDefault="00087872">
      <w:pPr>
        <w:pStyle w:val="Virsraksts21"/>
      </w:pPr>
    </w:p>
    <w:p w14:paraId="2CA46CB4" w14:textId="77777777" w:rsidR="00087872" w:rsidRDefault="00256B13">
      <w:pPr>
        <w:pStyle w:val="Virsraksts21"/>
      </w:pPr>
      <w:bookmarkStart w:id="21" w:name="_Toc456012534"/>
      <w:bookmarkStart w:id="22" w:name="_Toc456012647"/>
      <w:bookmarkStart w:id="23" w:name="_Toc139120226"/>
      <w:r>
        <w:t xml:space="preserve">2.2. </w:t>
      </w:r>
      <w:bookmarkEnd w:id="21"/>
      <w:bookmarkEnd w:id="22"/>
      <w:r>
        <w:t>Darbības stratēģijā sasniedzamo rezultātu izpildes analīze</w:t>
      </w:r>
      <w:bookmarkEnd w:id="23"/>
    </w:p>
    <w:p w14:paraId="3AEB0CAF" w14:textId="77777777" w:rsidR="00087872" w:rsidRDefault="00256B13">
      <w:pPr>
        <w:pStyle w:val="Pamattekstaatkpe2"/>
      </w:pPr>
      <w:r>
        <w:t xml:space="preserve">Kvalitātes dienesta apgūtā finansējuma ietvaros, apakšprogrammā 42.07.00 „Izglītības kvalitātes valsts dienesta darbības nodrošināšana”, </w:t>
      </w:r>
      <w:r>
        <w:t>atbilstoši plānotajiem pasākumiem un aktivitātēm ir sasniegti šādi galvenie rezultatīvie rādītāji (sk. 2. tabulu):</w:t>
      </w:r>
    </w:p>
    <w:p w14:paraId="66526080" w14:textId="77777777" w:rsidR="00087872" w:rsidRDefault="00087872">
      <w:pPr>
        <w:pStyle w:val="Pamattekstaatkpe2"/>
      </w:pPr>
    </w:p>
    <w:p w14:paraId="014D00EB" w14:textId="77777777" w:rsidR="00087872" w:rsidRDefault="00087872">
      <w:pPr>
        <w:spacing w:after="0"/>
        <w:contextualSpacing/>
        <w:jc w:val="right"/>
        <w:rPr>
          <w:bCs/>
          <w:i/>
          <w:sz w:val="22"/>
          <w:szCs w:val="22"/>
          <w:lang w:eastAsia="lv-LV"/>
        </w:rPr>
      </w:pPr>
    </w:p>
    <w:p w14:paraId="0228F8DD" w14:textId="77777777" w:rsidR="00087872" w:rsidRDefault="00256B13">
      <w:pPr>
        <w:spacing w:after="0"/>
        <w:contextualSpacing/>
        <w:jc w:val="right"/>
      </w:pPr>
      <w:r>
        <w:rPr>
          <w:bCs/>
          <w:i/>
          <w:sz w:val="22"/>
          <w:szCs w:val="22"/>
          <w:lang w:eastAsia="lv-LV"/>
        </w:rPr>
        <w:t>2. tabula</w:t>
      </w:r>
    </w:p>
    <w:p w14:paraId="78DFE051" w14:textId="77777777" w:rsidR="00087872" w:rsidRDefault="00256B13">
      <w:pPr>
        <w:jc w:val="center"/>
      </w:pPr>
      <w:r>
        <w:rPr>
          <w:bCs/>
          <w:i/>
          <w:sz w:val="22"/>
          <w:szCs w:val="22"/>
          <w:lang w:eastAsia="lv-LV"/>
        </w:rPr>
        <w:t>Izglītības kvalitātes valsts dienesta 20</w:t>
      </w:r>
      <w:bookmarkStart w:id="24" w:name="_Toc456012535"/>
      <w:bookmarkStart w:id="25" w:name="_Toc456012648"/>
      <w:r>
        <w:rPr>
          <w:bCs/>
          <w:i/>
          <w:sz w:val="22"/>
          <w:szCs w:val="22"/>
          <w:lang w:eastAsia="lv-LV"/>
        </w:rPr>
        <w:t xml:space="preserve">22. gada rezultatīvie rādītāji </w:t>
      </w:r>
    </w:p>
    <w:tbl>
      <w:tblPr>
        <w:tblW w:w="9258" w:type="dxa"/>
        <w:tblInd w:w="93" w:type="dxa"/>
        <w:tblLayout w:type="fixed"/>
        <w:tblLook w:val="04A0" w:firstRow="1" w:lastRow="0" w:firstColumn="1" w:lastColumn="0" w:noHBand="0" w:noVBand="1"/>
      </w:tblPr>
      <w:tblGrid>
        <w:gridCol w:w="2957"/>
        <w:gridCol w:w="3219"/>
        <w:gridCol w:w="3082"/>
      </w:tblGrid>
      <w:tr w:rsidR="00087872" w14:paraId="262054EF" w14:textId="77777777">
        <w:trPr>
          <w:trHeight w:val="540"/>
        </w:trPr>
        <w:tc>
          <w:tcPr>
            <w:tcW w:w="2957" w:type="dxa"/>
            <w:tcBorders>
              <w:top w:val="single" w:sz="4" w:space="0" w:color="000000"/>
              <w:left w:val="single" w:sz="4" w:space="0" w:color="000000"/>
              <w:bottom w:val="single" w:sz="4" w:space="0" w:color="000000"/>
              <w:right w:val="single" w:sz="4" w:space="0" w:color="000000"/>
            </w:tcBorders>
          </w:tcPr>
          <w:p w14:paraId="3FAD8B4E" w14:textId="77777777" w:rsidR="00087872" w:rsidRDefault="00256B13">
            <w:pPr>
              <w:widowControl w:val="0"/>
              <w:spacing w:after="0" w:line="240" w:lineRule="auto"/>
              <w:rPr>
                <w:rFonts w:eastAsia="Times New Roman"/>
                <w:b/>
                <w:bCs/>
                <w:i/>
                <w:iCs/>
                <w:sz w:val="22"/>
                <w:szCs w:val="22"/>
                <w:lang w:eastAsia="lv-LV"/>
              </w:rPr>
            </w:pPr>
            <w:r>
              <w:rPr>
                <w:rFonts w:eastAsia="Times New Roman"/>
                <w:b/>
                <w:bCs/>
                <w:i/>
                <w:iCs/>
                <w:sz w:val="22"/>
                <w:szCs w:val="22"/>
                <w:lang w:eastAsia="lv-LV"/>
              </w:rPr>
              <w:t>Darbības rezultāts</w:t>
            </w:r>
          </w:p>
        </w:tc>
        <w:tc>
          <w:tcPr>
            <w:tcW w:w="3219" w:type="dxa"/>
            <w:tcBorders>
              <w:top w:val="single" w:sz="4" w:space="0" w:color="000000"/>
              <w:bottom w:val="single" w:sz="4" w:space="0" w:color="000000"/>
              <w:right w:val="single" w:sz="4" w:space="0" w:color="000000"/>
            </w:tcBorders>
          </w:tcPr>
          <w:p w14:paraId="7FC61503" w14:textId="77777777" w:rsidR="00087872" w:rsidRDefault="00256B13">
            <w:pPr>
              <w:widowControl w:val="0"/>
              <w:spacing w:after="0" w:line="240" w:lineRule="auto"/>
              <w:rPr>
                <w:rFonts w:eastAsia="Times New Roman"/>
                <w:b/>
                <w:bCs/>
                <w:i/>
                <w:iCs/>
                <w:sz w:val="22"/>
                <w:szCs w:val="22"/>
                <w:lang w:eastAsia="lv-LV"/>
              </w:rPr>
            </w:pPr>
            <w:r>
              <w:rPr>
                <w:rFonts w:eastAsia="Times New Roman"/>
                <w:b/>
                <w:bCs/>
                <w:i/>
                <w:iCs/>
                <w:sz w:val="22"/>
                <w:szCs w:val="22"/>
                <w:lang w:eastAsia="lv-LV"/>
              </w:rPr>
              <w:t>Rezultatīvais rādītājs</w:t>
            </w:r>
          </w:p>
        </w:tc>
        <w:tc>
          <w:tcPr>
            <w:tcW w:w="3082" w:type="dxa"/>
            <w:tcBorders>
              <w:top w:val="single" w:sz="4" w:space="0" w:color="000000"/>
              <w:bottom w:val="single" w:sz="4" w:space="0" w:color="000000"/>
              <w:right w:val="single" w:sz="4" w:space="0" w:color="000000"/>
            </w:tcBorders>
          </w:tcPr>
          <w:p w14:paraId="6D210095" w14:textId="77777777" w:rsidR="00087872" w:rsidRDefault="00256B13">
            <w:pPr>
              <w:widowControl w:val="0"/>
              <w:spacing w:after="0" w:line="240" w:lineRule="auto"/>
              <w:rPr>
                <w:rFonts w:eastAsia="Times New Roman"/>
                <w:b/>
                <w:bCs/>
                <w:i/>
                <w:iCs/>
                <w:sz w:val="22"/>
                <w:szCs w:val="22"/>
                <w:lang w:eastAsia="lv-LV"/>
              </w:rPr>
            </w:pPr>
            <w:r>
              <w:rPr>
                <w:rFonts w:eastAsia="Times New Roman"/>
                <w:b/>
                <w:bCs/>
                <w:i/>
                <w:iCs/>
                <w:sz w:val="22"/>
                <w:szCs w:val="22"/>
                <w:lang w:eastAsia="lv-LV"/>
              </w:rPr>
              <w:t>Rezultatīvā rād</w:t>
            </w:r>
            <w:r>
              <w:rPr>
                <w:rFonts w:eastAsia="Times New Roman"/>
                <w:b/>
                <w:bCs/>
                <w:i/>
                <w:iCs/>
                <w:sz w:val="22"/>
                <w:szCs w:val="22"/>
                <w:lang w:eastAsia="lv-LV"/>
              </w:rPr>
              <w:t>ītāja pārskata perioda izpilde</w:t>
            </w:r>
          </w:p>
        </w:tc>
      </w:tr>
      <w:tr w:rsidR="00087872" w14:paraId="56B598B0" w14:textId="77777777">
        <w:trPr>
          <w:trHeight w:val="690"/>
        </w:trPr>
        <w:tc>
          <w:tcPr>
            <w:tcW w:w="2957" w:type="dxa"/>
            <w:vMerge w:val="restart"/>
            <w:tcBorders>
              <w:left w:val="single" w:sz="4" w:space="0" w:color="000000"/>
              <w:bottom w:val="single" w:sz="8" w:space="0" w:color="000000"/>
              <w:right w:val="single" w:sz="4" w:space="0" w:color="000000"/>
            </w:tcBorders>
          </w:tcPr>
          <w:p w14:paraId="41671197" w14:textId="77777777" w:rsidR="00087872" w:rsidRDefault="00256B13">
            <w:pPr>
              <w:widowControl w:val="0"/>
              <w:spacing w:after="0" w:line="240" w:lineRule="auto"/>
              <w:rPr>
                <w:rFonts w:eastAsia="Times New Roman"/>
                <w:b/>
                <w:bCs/>
                <w:sz w:val="22"/>
                <w:szCs w:val="22"/>
                <w:lang w:eastAsia="lv-LV"/>
              </w:rPr>
            </w:pPr>
            <w:r>
              <w:rPr>
                <w:rFonts w:eastAsia="Times New Roman"/>
                <w:b/>
                <w:bCs/>
                <w:sz w:val="22"/>
                <w:szCs w:val="22"/>
                <w:lang w:eastAsia="lv-LV"/>
              </w:rPr>
              <w:t>Izglītības iestāžu un zinātnisko institūciju darbības, izglītības programmu īstenošanas kvalitātes nodrošināšana</w:t>
            </w:r>
          </w:p>
        </w:tc>
        <w:tc>
          <w:tcPr>
            <w:tcW w:w="3219" w:type="dxa"/>
            <w:tcBorders>
              <w:bottom w:val="single" w:sz="4" w:space="0" w:color="000000"/>
              <w:right w:val="single" w:sz="4" w:space="0" w:color="000000"/>
            </w:tcBorders>
          </w:tcPr>
          <w:p w14:paraId="2A1AB39C"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Izglītības iestāžu un zinātnisko institūciju reģistri</w:t>
            </w:r>
          </w:p>
        </w:tc>
        <w:tc>
          <w:tcPr>
            <w:tcW w:w="3082" w:type="dxa"/>
            <w:tcBorders>
              <w:bottom w:val="single" w:sz="4" w:space="0" w:color="000000"/>
              <w:right w:val="single" w:sz="4" w:space="0" w:color="000000"/>
            </w:tcBorders>
          </w:tcPr>
          <w:p w14:paraId="5D6934C6"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Reģistrēts 163</w:t>
            </w:r>
          </w:p>
          <w:p w14:paraId="281A6640"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Likvidēts 458</w:t>
            </w:r>
          </w:p>
          <w:p w14:paraId="17D16252"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Grozījumi 48</w:t>
            </w:r>
          </w:p>
        </w:tc>
      </w:tr>
      <w:tr w:rsidR="00087872" w14:paraId="725DE62E" w14:textId="77777777">
        <w:trPr>
          <w:trHeight w:val="900"/>
        </w:trPr>
        <w:tc>
          <w:tcPr>
            <w:tcW w:w="2957" w:type="dxa"/>
            <w:vMerge/>
            <w:tcBorders>
              <w:left w:val="single" w:sz="4" w:space="0" w:color="000000"/>
              <w:bottom w:val="single" w:sz="8" w:space="0" w:color="000000"/>
              <w:right w:val="single" w:sz="4" w:space="0" w:color="000000"/>
            </w:tcBorders>
            <w:vAlign w:val="center"/>
          </w:tcPr>
          <w:p w14:paraId="0FAF7AEC" w14:textId="77777777" w:rsidR="00087872" w:rsidRDefault="00087872">
            <w:pPr>
              <w:widowControl w:val="0"/>
              <w:spacing w:after="0" w:line="240" w:lineRule="auto"/>
              <w:rPr>
                <w:rFonts w:eastAsia="Times New Roman"/>
                <w:b/>
                <w:bCs/>
                <w:sz w:val="22"/>
                <w:szCs w:val="22"/>
                <w:lang w:eastAsia="lv-LV"/>
              </w:rPr>
            </w:pPr>
          </w:p>
        </w:tc>
        <w:tc>
          <w:tcPr>
            <w:tcW w:w="3219" w:type="dxa"/>
            <w:tcBorders>
              <w:bottom w:val="single" w:sz="4" w:space="0" w:color="000000"/>
              <w:right w:val="single" w:sz="4" w:space="0" w:color="000000"/>
            </w:tcBorders>
          </w:tcPr>
          <w:p w14:paraId="5A0B6130"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Vispārējās izglītības un profesionālās izglītības programmu licencēšana</w:t>
            </w:r>
          </w:p>
        </w:tc>
        <w:tc>
          <w:tcPr>
            <w:tcW w:w="3082" w:type="dxa"/>
            <w:tcBorders>
              <w:bottom w:val="single" w:sz="4" w:space="0" w:color="000000"/>
              <w:right w:val="single" w:sz="4" w:space="0" w:color="000000"/>
            </w:tcBorders>
          </w:tcPr>
          <w:p w14:paraId="019C43C9"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Licencēts 961</w:t>
            </w:r>
          </w:p>
          <w:p w14:paraId="62E12539"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Grozītas 1173</w:t>
            </w:r>
          </w:p>
        </w:tc>
      </w:tr>
      <w:tr w:rsidR="00087872" w14:paraId="7DB816D2" w14:textId="77777777">
        <w:trPr>
          <w:trHeight w:val="600"/>
        </w:trPr>
        <w:tc>
          <w:tcPr>
            <w:tcW w:w="2957" w:type="dxa"/>
            <w:vMerge/>
            <w:tcBorders>
              <w:left w:val="single" w:sz="4" w:space="0" w:color="000000"/>
              <w:bottom w:val="single" w:sz="8" w:space="0" w:color="000000"/>
              <w:right w:val="single" w:sz="4" w:space="0" w:color="000000"/>
            </w:tcBorders>
            <w:vAlign w:val="center"/>
          </w:tcPr>
          <w:p w14:paraId="17545C4A" w14:textId="77777777" w:rsidR="00087872" w:rsidRDefault="00087872">
            <w:pPr>
              <w:widowControl w:val="0"/>
              <w:spacing w:after="0" w:line="240" w:lineRule="auto"/>
              <w:rPr>
                <w:rFonts w:eastAsia="Times New Roman"/>
                <w:b/>
                <w:bCs/>
                <w:sz w:val="22"/>
                <w:szCs w:val="22"/>
                <w:lang w:eastAsia="lv-LV"/>
              </w:rPr>
            </w:pPr>
          </w:p>
        </w:tc>
        <w:tc>
          <w:tcPr>
            <w:tcW w:w="3219" w:type="dxa"/>
            <w:tcBorders>
              <w:bottom w:val="single" w:sz="4" w:space="0" w:color="000000"/>
              <w:right w:val="single" w:sz="4" w:space="0" w:color="000000"/>
            </w:tcBorders>
          </w:tcPr>
          <w:p w14:paraId="1A6533D0"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Izglītības kvalitātes novērtēšana (akreditācija)</w:t>
            </w:r>
          </w:p>
        </w:tc>
        <w:tc>
          <w:tcPr>
            <w:tcW w:w="3082" w:type="dxa"/>
            <w:tcBorders>
              <w:bottom w:val="single" w:sz="4" w:space="0" w:color="000000"/>
              <w:right w:val="single" w:sz="4" w:space="0" w:color="000000"/>
            </w:tcBorders>
          </w:tcPr>
          <w:p w14:paraId="37817D7E" w14:textId="7953F831" w:rsidR="00087872" w:rsidRDefault="00683E0C">
            <w:pPr>
              <w:widowControl w:val="0"/>
              <w:spacing w:after="0" w:line="240" w:lineRule="auto"/>
              <w:jc w:val="center"/>
              <w:rPr>
                <w:rFonts w:eastAsia="Times New Roman"/>
                <w:sz w:val="22"/>
                <w:szCs w:val="22"/>
                <w:lang w:eastAsia="lv-LV"/>
              </w:rPr>
            </w:pPr>
            <w:r w:rsidRPr="00683E0C">
              <w:rPr>
                <w:rFonts w:eastAsia="Times New Roman"/>
                <w:sz w:val="22"/>
                <w:szCs w:val="22"/>
                <w:lang w:eastAsia="lv-LV"/>
              </w:rPr>
              <w:t>251</w:t>
            </w:r>
          </w:p>
        </w:tc>
      </w:tr>
      <w:tr w:rsidR="00087872" w14:paraId="0D7765C3" w14:textId="77777777">
        <w:trPr>
          <w:trHeight w:val="585"/>
        </w:trPr>
        <w:tc>
          <w:tcPr>
            <w:tcW w:w="2957" w:type="dxa"/>
            <w:vMerge w:val="restart"/>
            <w:tcBorders>
              <w:top w:val="single" w:sz="8" w:space="0" w:color="000000"/>
              <w:left w:val="single" w:sz="4" w:space="0" w:color="000000"/>
              <w:bottom w:val="single" w:sz="4" w:space="0" w:color="000000"/>
              <w:right w:val="single" w:sz="4" w:space="0" w:color="000000"/>
            </w:tcBorders>
          </w:tcPr>
          <w:p w14:paraId="1A508481" w14:textId="77777777" w:rsidR="00087872" w:rsidRDefault="00256B13">
            <w:pPr>
              <w:widowControl w:val="0"/>
              <w:spacing w:after="0" w:line="240" w:lineRule="auto"/>
              <w:rPr>
                <w:rFonts w:eastAsia="Times New Roman"/>
                <w:b/>
                <w:bCs/>
                <w:sz w:val="22"/>
                <w:szCs w:val="22"/>
                <w:lang w:eastAsia="lv-LV"/>
              </w:rPr>
            </w:pPr>
            <w:r>
              <w:rPr>
                <w:rFonts w:eastAsia="Times New Roman"/>
                <w:b/>
                <w:bCs/>
                <w:sz w:val="22"/>
                <w:szCs w:val="22"/>
                <w:lang w:eastAsia="lv-LV"/>
              </w:rPr>
              <w:t>Izglītības iestāžu vadītāju, pedagogu un citu personu izvērtēšana</w:t>
            </w:r>
          </w:p>
        </w:tc>
        <w:tc>
          <w:tcPr>
            <w:tcW w:w="3219" w:type="dxa"/>
            <w:tcBorders>
              <w:bottom w:val="single" w:sz="4" w:space="0" w:color="000000"/>
              <w:right w:val="single" w:sz="4" w:space="0" w:color="000000"/>
            </w:tcBorders>
          </w:tcPr>
          <w:p w14:paraId="1DF8196A"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 xml:space="preserve">Izglītības iestāžu </w:t>
            </w:r>
            <w:r>
              <w:rPr>
                <w:rFonts w:eastAsia="Times New Roman"/>
                <w:sz w:val="22"/>
                <w:szCs w:val="22"/>
                <w:lang w:eastAsia="lv-LV"/>
              </w:rPr>
              <w:t>vadītāju novērtēšana</w:t>
            </w:r>
          </w:p>
        </w:tc>
        <w:tc>
          <w:tcPr>
            <w:tcW w:w="3082" w:type="dxa"/>
            <w:tcBorders>
              <w:bottom w:val="single" w:sz="4" w:space="0" w:color="000000"/>
              <w:right w:val="single" w:sz="4" w:space="0" w:color="000000"/>
            </w:tcBorders>
          </w:tcPr>
          <w:p w14:paraId="51F3B519" w14:textId="0D25B439"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2</w:t>
            </w:r>
            <w:r w:rsidR="00683E0C">
              <w:rPr>
                <w:rFonts w:eastAsia="Times New Roman"/>
                <w:sz w:val="22"/>
                <w:szCs w:val="22"/>
                <w:lang w:eastAsia="lv-LV"/>
              </w:rPr>
              <w:t>77</w:t>
            </w:r>
          </w:p>
        </w:tc>
      </w:tr>
      <w:tr w:rsidR="00087872" w14:paraId="0EB798AD" w14:textId="77777777">
        <w:trPr>
          <w:trHeight w:val="683"/>
        </w:trPr>
        <w:tc>
          <w:tcPr>
            <w:tcW w:w="2957" w:type="dxa"/>
            <w:vMerge/>
            <w:tcBorders>
              <w:top w:val="single" w:sz="8" w:space="0" w:color="000000"/>
              <w:left w:val="single" w:sz="4" w:space="0" w:color="000000"/>
              <w:bottom w:val="single" w:sz="4" w:space="0" w:color="000000"/>
              <w:right w:val="single" w:sz="4" w:space="0" w:color="000000"/>
            </w:tcBorders>
            <w:vAlign w:val="center"/>
          </w:tcPr>
          <w:p w14:paraId="3887AFF9" w14:textId="77777777" w:rsidR="00087872" w:rsidRDefault="00087872">
            <w:pPr>
              <w:widowControl w:val="0"/>
              <w:spacing w:after="0" w:line="240" w:lineRule="auto"/>
              <w:rPr>
                <w:rFonts w:eastAsia="Times New Roman"/>
                <w:b/>
                <w:bCs/>
                <w:sz w:val="22"/>
                <w:szCs w:val="22"/>
                <w:lang w:eastAsia="lv-LV"/>
              </w:rPr>
            </w:pPr>
          </w:p>
        </w:tc>
        <w:tc>
          <w:tcPr>
            <w:tcW w:w="3219" w:type="dxa"/>
            <w:tcBorders>
              <w:bottom w:val="single" w:sz="4" w:space="0" w:color="000000"/>
              <w:right w:val="single" w:sz="4" w:space="0" w:color="000000"/>
            </w:tcBorders>
          </w:tcPr>
          <w:p w14:paraId="4876BDE5"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Iepriekš sodīto personu izvērtēšana</w:t>
            </w:r>
          </w:p>
        </w:tc>
        <w:tc>
          <w:tcPr>
            <w:tcW w:w="3082" w:type="dxa"/>
            <w:tcBorders>
              <w:bottom w:val="single" w:sz="4" w:space="0" w:color="000000"/>
              <w:right w:val="single" w:sz="4" w:space="0" w:color="000000"/>
            </w:tcBorders>
          </w:tcPr>
          <w:p w14:paraId="0E5FDD40"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29</w:t>
            </w:r>
          </w:p>
        </w:tc>
      </w:tr>
      <w:tr w:rsidR="00087872" w14:paraId="7A5B45E6" w14:textId="77777777">
        <w:trPr>
          <w:trHeight w:val="600"/>
        </w:trPr>
        <w:tc>
          <w:tcPr>
            <w:tcW w:w="2957" w:type="dxa"/>
            <w:vMerge/>
            <w:tcBorders>
              <w:top w:val="single" w:sz="8" w:space="0" w:color="000000"/>
              <w:left w:val="single" w:sz="4" w:space="0" w:color="000000"/>
              <w:bottom w:val="single" w:sz="4" w:space="0" w:color="000000"/>
              <w:right w:val="single" w:sz="4" w:space="0" w:color="000000"/>
            </w:tcBorders>
            <w:vAlign w:val="center"/>
          </w:tcPr>
          <w:p w14:paraId="3468CFB5" w14:textId="77777777" w:rsidR="00087872" w:rsidRDefault="00087872">
            <w:pPr>
              <w:widowControl w:val="0"/>
              <w:spacing w:after="0" w:line="240" w:lineRule="auto"/>
              <w:rPr>
                <w:rFonts w:eastAsia="Times New Roman"/>
                <w:b/>
                <w:bCs/>
                <w:sz w:val="22"/>
                <w:szCs w:val="22"/>
                <w:lang w:eastAsia="lv-LV"/>
              </w:rPr>
            </w:pPr>
          </w:p>
        </w:tc>
        <w:tc>
          <w:tcPr>
            <w:tcW w:w="3219" w:type="dxa"/>
            <w:tcBorders>
              <w:bottom w:val="single" w:sz="4" w:space="0" w:color="000000"/>
              <w:right w:val="single" w:sz="4" w:space="0" w:color="000000"/>
            </w:tcBorders>
          </w:tcPr>
          <w:p w14:paraId="33F528B3"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Pedagoga privātprakses uzsākšanas sertificēšana</w:t>
            </w:r>
          </w:p>
        </w:tc>
        <w:tc>
          <w:tcPr>
            <w:tcW w:w="3082" w:type="dxa"/>
            <w:tcBorders>
              <w:bottom w:val="single" w:sz="4" w:space="0" w:color="000000"/>
              <w:right w:val="single" w:sz="4" w:space="0" w:color="000000"/>
            </w:tcBorders>
          </w:tcPr>
          <w:p w14:paraId="5F271B9D"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274</w:t>
            </w:r>
          </w:p>
        </w:tc>
      </w:tr>
      <w:tr w:rsidR="00087872" w14:paraId="3DC0DB35" w14:textId="77777777">
        <w:trPr>
          <w:trHeight w:val="600"/>
        </w:trPr>
        <w:tc>
          <w:tcPr>
            <w:tcW w:w="2957" w:type="dxa"/>
            <w:vMerge/>
            <w:tcBorders>
              <w:top w:val="single" w:sz="8" w:space="0" w:color="000000"/>
              <w:left w:val="single" w:sz="4" w:space="0" w:color="000000"/>
              <w:bottom w:val="single" w:sz="4" w:space="0" w:color="000000"/>
              <w:right w:val="single" w:sz="4" w:space="0" w:color="000000"/>
            </w:tcBorders>
            <w:vAlign w:val="center"/>
          </w:tcPr>
          <w:p w14:paraId="1A959007" w14:textId="77777777" w:rsidR="00087872" w:rsidRDefault="00087872">
            <w:pPr>
              <w:widowControl w:val="0"/>
              <w:spacing w:after="0" w:line="240" w:lineRule="auto"/>
              <w:rPr>
                <w:rFonts w:eastAsia="Times New Roman"/>
                <w:b/>
                <w:bCs/>
                <w:sz w:val="22"/>
                <w:szCs w:val="22"/>
                <w:lang w:eastAsia="lv-LV"/>
              </w:rPr>
            </w:pPr>
          </w:p>
        </w:tc>
        <w:tc>
          <w:tcPr>
            <w:tcW w:w="3219" w:type="dxa"/>
            <w:tcBorders>
              <w:bottom w:val="single" w:sz="4" w:space="0" w:color="000000"/>
              <w:right w:val="single" w:sz="4" w:space="0" w:color="000000"/>
            </w:tcBorders>
          </w:tcPr>
          <w:p w14:paraId="76C31F9A"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Sertificēto psihologu īpatsvars (% no reģistrēto psihologu skaita)</w:t>
            </w:r>
          </w:p>
        </w:tc>
        <w:tc>
          <w:tcPr>
            <w:tcW w:w="3082" w:type="dxa"/>
            <w:tcBorders>
              <w:bottom w:val="single" w:sz="4" w:space="0" w:color="000000"/>
              <w:right w:val="single" w:sz="4" w:space="0" w:color="000000"/>
            </w:tcBorders>
          </w:tcPr>
          <w:p w14:paraId="36A04697"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80</w:t>
            </w:r>
          </w:p>
        </w:tc>
      </w:tr>
      <w:tr w:rsidR="00087872" w14:paraId="1E9A779A" w14:textId="77777777">
        <w:trPr>
          <w:trHeight w:val="615"/>
        </w:trPr>
        <w:tc>
          <w:tcPr>
            <w:tcW w:w="2957" w:type="dxa"/>
            <w:vMerge w:val="restart"/>
            <w:tcBorders>
              <w:left w:val="single" w:sz="4" w:space="0" w:color="000000"/>
              <w:bottom w:val="single" w:sz="4" w:space="0" w:color="000000"/>
              <w:right w:val="single" w:sz="4" w:space="0" w:color="000000"/>
            </w:tcBorders>
          </w:tcPr>
          <w:p w14:paraId="2AA65D9E" w14:textId="77777777" w:rsidR="00087872" w:rsidRDefault="00256B13">
            <w:pPr>
              <w:widowControl w:val="0"/>
              <w:spacing w:after="0" w:line="240" w:lineRule="auto"/>
              <w:rPr>
                <w:rFonts w:eastAsia="Times New Roman"/>
                <w:b/>
                <w:bCs/>
                <w:sz w:val="22"/>
                <w:szCs w:val="22"/>
                <w:lang w:eastAsia="lv-LV"/>
              </w:rPr>
            </w:pPr>
            <w:r>
              <w:rPr>
                <w:rFonts w:eastAsia="Times New Roman"/>
                <w:b/>
                <w:bCs/>
                <w:sz w:val="22"/>
                <w:szCs w:val="22"/>
                <w:lang w:eastAsia="lv-LV"/>
              </w:rPr>
              <w:t xml:space="preserve">Bērnu uzraudzības pakalpojuma sniedzēju darbības </w:t>
            </w:r>
            <w:r>
              <w:rPr>
                <w:rFonts w:eastAsia="Times New Roman"/>
                <w:b/>
                <w:bCs/>
                <w:sz w:val="22"/>
                <w:szCs w:val="22"/>
                <w:lang w:eastAsia="lv-LV"/>
              </w:rPr>
              <w:t>sākotnējā izvērtēšana</w:t>
            </w:r>
          </w:p>
        </w:tc>
        <w:tc>
          <w:tcPr>
            <w:tcW w:w="3219" w:type="dxa"/>
            <w:tcBorders>
              <w:bottom w:val="single" w:sz="4" w:space="0" w:color="000000"/>
              <w:right w:val="single" w:sz="4" w:space="0" w:color="000000"/>
            </w:tcBorders>
          </w:tcPr>
          <w:p w14:paraId="4B623650"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Reģistrēti bērnu uzraudzības pakalpojuma sniedzēji</w:t>
            </w:r>
          </w:p>
        </w:tc>
        <w:tc>
          <w:tcPr>
            <w:tcW w:w="3082" w:type="dxa"/>
            <w:tcBorders>
              <w:bottom w:val="single" w:sz="4" w:space="0" w:color="000000"/>
              <w:right w:val="single" w:sz="4" w:space="0" w:color="000000"/>
            </w:tcBorders>
          </w:tcPr>
          <w:p w14:paraId="11CA7295"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410</w:t>
            </w:r>
          </w:p>
        </w:tc>
      </w:tr>
      <w:tr w:rsidR="00087872" w14:paraId="5B43B8C2" w14:textId="77777777">
        <w:trPr>
          <w:trHeight w:val="1290"/>
        </w:trPr>
        <w:tc>
          <w:tcPr>
            <w:tcW w:w="2957" w:type="dxa"/>
            <w:vMerge/>
            <w:tcBorders>
              <w:left w:val="single" w:sz="4" w:space="0" w:color="000000"/>
              <w:bottom w:val="single" w:sz="4" w:space="0" w:color="000000"/>
              <w:right w:val="single" w:sz="4" w:space="0" w:color="000000"/>
            </w:tcBorders>
            <w:vAlign w:val="center"/>
          </w:tcPr>
          <w:p w14:paraId="26EB0EA3" w14:textId="77777777" w:rsidR="00087872" w:rsidRDefault="00087872">
            <w:pPr>
              <w:widowControl w:val="0"/>
              <w:spacing w:after="0" w:line="240" w:lineRule="auto"/>
              <w:rPr>
                <w:rFonts w:eastAsia="Times New Roman"/>
                <w:b/>
                <w:bCs/>
                <w:sz w:val="22"/>
                <w:szCs w:val="22"/>
                <w:lang w:eastAsia="lv-LV"/>
              </w:rPr>
            </w:pPr>
          </w:p>
        </w:tc>
        <w:tc>
          <w:tcPr>
            <w:tcW w:w="3219" w:type="dxa"/>
            <w:tcBorders>
              <w:bottom w:val="single" w:sz="4" w:space="0" w:color="000000"/>
              <w:right w:val="single" w:sz="4" w:space="0" w:color="000000"/>
            </w:tcBorders>
          </w:tcPr>
          <w:p w14:paraId="229D45D4"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Izslēgti no bērnu uzraudzības pakalpojuma sniedzēju reģistra un veikti grozījumi bērnu uzraudzības pakalpojumu sniedzēju reģistrā</w:t>
            </w:r>
          </w:p>
        </w:tc>
        <w:tc>
          <w:tcPr>
            <w:tcW w:w="3082" w:type="dxa"/>
            <w:tcBorders>
              <w:bottom w:val="single" w:sz="4" w:space="0" w:color="000000"/>
              <w:right w:val="single" w:sz="4" w:space="0" w:color="000000"/>
            </w:tcBorders>
          </w:tcPr>
          <w:p w14:paraId="068C9BDA"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189</w:t>
            </w:r>
          </w:p>
        </w:tc>
      </w:tr>
      <w:tr w:rsidR="00087872" w14:paraId="5DF1CEBB" w14:textId="77777777">
        <w:trPr>
          <w:trHeight w:val="600"/>
        </w:trPr>
        <w:tc>
          <w:tcPr>
            <w:tcW w:w="2957" w:type="dxa"/>
            <w:vMerge w:val="restart"/>
            <w:tcBorders>
              <w:left w:val="single" w:sz="4" w:space="0" w:color="000000"/>
              <w:bottom w:val="single" w:sz="4" w:space="0" w:color="000000"/>
              <w:right w:val="single" w:sz="4" w:space="0" w:color="000000"/>
            </w:tcBorders>
          </w:tcPr>
          <w:p w14:paraId="5013DE04" w14:textId="77777777" w:rsidR="00087872" w:rsidRDefault="00256B13">
            <w:pPr>
              <w:widowControl w:val="0"/>
              <w:spacing w:after="0" w:line="240" w:lineRule="auto"/>
              <w:rPr>
                <w:rFonts w:eastAsia="Times New Roman"/>
                <w:b/>
                <w:bCs/>
                <w:sz w:val="22"/>
                <w:szCs w:val="22"/>
                <w:lang w:eastAsia="lv-LV"/>
              </w:rPr>
            </w:pPr>
            <w:r>
              <w:rPr>
                <w:rFonts w:eastAsia="Times New Roman"/>
                <w:b/>
                <w:bCs/>
                <w:sz w:val="22"/>
                <w:szCs w:val="22"/>
                <w:lang w:eastAsia="lv-LV"/>
              </w:rPr>
              <w:t>Izglītības uzraudzība</w:t>
            </w:r>
          </w:p>
        </w:tc>
        <w:tc>
          <w:tcPr>
            <w:tcW w:w="3219" w:type="dxa"/>
            <w:tcBorders>
              <w:bottom w:val="single" w:sz="4" w:space="0" w:color="000000"/>
              <w:right w:val="single" w:sz="4" w:space="0" w:color="000000"/>
            </w:tcBorders>
          </w:tcPr>
          <w:p w14:paraId="25391CBE"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 xml:space="preserve">Izglītības </w:t>
            </w:r>
            <w:r>
              <w:rPr>
                <w:rFonts w:eastAsia="Times New Roman"/>
                <w:sz w:val="22"/>
                <w:szCs w:val="22"/>
                <w:lang w:eastAsia="lv-LV"/>
              </w:rPr>
              <w:t>iestāžu, izglītības procesa pārbaudes</w:t>
            </w:r>
          </w:p>
        </w:tc>
        <w:tc>
          <w:tcPr>
            <w:tcW w:w="3082" w:type="dxa"/>
            <w:tcBorders>
              <w:bottom w:val="single" w:sz="4" w:space="0" w:color="000000"/>
              <w:right w:val="single" w:sz="4" w:space="0" w:color="000000"/>
            </w:tcBorders>
          </w:tcPr>
          <w:p w14:paraId="1B105DF9"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540</w:t>
            </w:r>
          </w:p>
        </w:tc>
      </w:tr>
      <w:tr w:rsidR="00087872" w14:paraId="38A4F7AD" w14:textId="77777777">
        <w:trPr>
          <w:trHeight w:val="300"/>
        </w:trPr>
        <w:tc>
          <w:tcPr>
            <w:tcW w:w="2957" w:type="dxa"/>
            <w:vMerge/>
            <w:tcBorders>
              <w:left w:val="single" w:sz="4" w:space="0" w:color="000000"/>
              <w:bottom w:val="single" w:sz="4" w:space="0" w:color="000000"/>
              <w:right w:val="single" w:sz="4" w:space="0" w:color="000000"/>
            </w:tcBorders>
            <w:vAlign w:val="center"/>
          </w:tcPr>
          <w:p w14:paraId="2094BB65" w14:textId="77777777" w:rsidR="00087872" w:rsidRDefault="00087872">
            <w:pPr>
              <w:widowControl w:val="0"/>
              <w:spacing w:after="0" w:line="240" w:lineRule="auto"/>
              <w:rPr>
                <w:rFonts w:eastAsia="Times New Roman"/>
                <w:b/>
                <w:bCs/>
                <w:sz w:val="22"/>
                <w:szCs w:val="22"/>
                <w:lang w:eastAsia="lv-LV"/>
              </w:rPr>
            </w:pPr>
          </w:p>
        </w:tc>
        <w:tc>
          <w:tcPr>
            <w:tcW w:w="3219" w:type="dxa"/>
            <w:tcBorders>
              <w:bottom w:val="single" w:sz="4" w:space="0" w:color="000000"/>
              <w:right w:val="single" w:sz="4" w:space="0" w:color="000000"/>
            </w:tcBorders>
          </w:tcPr>
          <w:p w14:paraId="04E5D4E8"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Personu iesniegumu izskatīšana</w:t>
            </w:r>
          </w:p>
        </w:tc>
        <w:tc>
          <w:tcPr>
            <w:tcW w:w="3082" w:type="dxa"/>
            <w:tcBorders>
              <w:bottom w:val="single" w:sz="4" w:space="0" w:color="000000"/>
              <w:right w:val="single" w:sz="4" w:space="0" w:color="000000"/>
            </w:tcBorders>
          </w:tcPr>
          <w:p w14:paraId="00257924"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650</w:t>
            </w:r>
          </w:p>
        </w:tc>
      </w:tr>
      <w:tr w:rsidR="00087872" w14:paraId="35A244E4" w14:textId="77777777">
        <w:trPr>
          <w:trHeight w:val="1140"/>
        </w:trPr>
        <w:tc>
          <w:tcPr>
            <w:tcW w:w="2957" w:type="dxa"/>
            <w:tcBorders>
              <w:left w:val="single" w:sz="4" w:space="0" w:color="000000"/>
              <w:bottom w:val="single" w:sz="4" w:space="0" w:color="000000"/>
              <w:right w:val="single" w:sz="4" w:space="0" w:color="000000"/>
            </w:tcBorders>
          </w:tcPr>
          <w:p w14:paraId="2BBE7806" w14:textId="77777777" w:rsidR="00087872" w:rsidRDefault="00256B13">
            <w:pPr>
              <w:widowControl w:val="0"/>
              <w:spacing w:after="0" w:line="240" w:lineRule="auto"/>
              <w:rPr>
                <w:rFonts w:eastAsia="Times New Roman"/>
                <w:b/>
                <w:bCs/>
                <w:sz w:val="22"/>
                <w:szCs w:val="22"/>
                <w:lang w:eastAsia="lv-LV"/>
              </w:rPr>
            </w:pPr>
            <w:r>
              <w:rPr>
                <w:rFonts w:eastAsia="Times New Roman"/>
                <w:b/>
                <w:bCs/>
                <w:sz w:val="22"/>
                <w:szCs w:val="22"/>
                <w:lang w:eastAsia="lv-LV"/>
              </w:rPr>
              <w:t>Obligātā izglītības vecumā esošo bērnu uzskaite un kavējumu novēršanas monitorings</w:t>
            </w:r>
          </w:p>
        </w:tc>
        <w:tc>
          <w:tcPr>
            <w:tcW w:w="3219" w:type="dxa"/>
            <w:tcBorders>
              <w:bottom w:val="single" w:sz="4" w:space="0" w:color="000000"/>
              <w:right w:val="single" w:sz="4" w:space="0" w:color="000000"/>
            </w:tcBorders>
          </w:tcPr>
          <w:p w14:paraId="450F4DAE" w14:textId="77777777" w:rsidR="00087872" w:rsidRDefault="00256B13">
            <w:pPr>
              <w:widowControl w:val="0"/>
              <w:spacing w:after="0" w:line="240" w:lineRule="auto"/>
              <w:rPr>
                <w:rFonts w:eastAsia="Times New Roman"/>
                <w:sz w:val="22"/>
                <w:szCs w:val="22"/>
                <w:lang w:eastAsia="lv-LV"/>
              </w:rPr>
            </w:pPr>
            <w:r>
              <w:rPr>
                <w:rFonts w:eastAsia="Times New Roman"/>
                <w:sz w:val="22"/>
                <w:szCs w:val="22"/>
                <w:lang w:eastAsia="lv-LV"/>
              </w:rPr>
              <w:t>Uzskaites (datu aktualizācijas) biežums</w:t>
            </w:r>
          </w:p>
        </w:tc>
        <w:tc>
          <w:tcPr>
            <w:tcW w:w="3082" w:type="dxa"/>
            <w:tcBorders>
              <w:bottom w:val="single" w:sz="4" w:space="0" w:color="000000"/>
              <w:right w:val="single" w:sz="4" w:space="0" w:color="000000"/>
            </w:tcBorders>
          </w:tcPr>
          <w:p w14:paraId="7723DB55" w14:textId="77777777" w:rsidR="00087872" w:rsidRDefault="00256B13">
            <w:pPr>
              <w:widowControl w:val="0"/>
              <w:spacing w:after="0" w:line="240" w:lineRule="auto"/>
              <w:jc w:val="center"/>
              <w:rPr>
                <w:rFonts w:eastAsia="Times New Roman"/>
                <w:sz w:val="22"/>
                <w:szCs w:val="22"/>
                <w:lang w:eastAsia="lv-LV"/>
              </w:rPr>
            </w:pPr>
            <w:r>
              <w:rPr>
                <w:rFonts w:eastAsia="Times New Roman"/>
                <w:sz w:val="22"/>
                <w:szCs w:val="22"/>
                <w:lang w:eastAsia="lv-LV"/>
              </w:rPr>
              <w:t>6</w:t>
            </w:r>
          </w:p>
        </w:tc>
      </w:tr>
    </w:tbl>
    <w:p w14:paraId="2D399FCB" w14:textId="77777777" w:rsidR="00087872" w:rsidRDefault="00087872">
      <w:pPr>
        <w:pStyle w:val="Virsraksts31"/>
      </w:pPr>
    </w:p>
    <w:p w14:paraId="16B3F4BB" w14:textId="77777777" w:rsidR="00087872" w:rsidRDefault="00256B13">
      <w:pPr>
        <w:pStyle w:val="Virsraksts31"/>
      </w:pPr>
      <w:bookmarkStart w:id="26" w:name="_Toc139120227"/>
      <w:r>
        <w:t>2.2.1. Reģistrācija</w:t>
      </w:r>
      <w:bookmarkEnd w:id="24"/>
      <w:bookmarkEnd w:id="25"/>
      <w:bookmarkEnd w:id="26"/>
    </w:p>
    <w:p w14:paraId="10C07670" w14:textId="77777777" w:rsidR="00087872" w:rsidRDefault="00256B13">
      <w:r>
        <w:rPr>
          <w:rFonts w:eastAsia="Times New Roman"/>
          <w:sz w:val="22"/>
          <w:szCs w:val="22"/>
        </w:rPr>
        <w:t>Pārskata gadā kvalitātes dienests turpināja nodrošināt izglītības iestāžu reģistrāciju, kā arī uzturēja citus reģistrus, t.sk. Zinātnisko institūciju reģistru (līdz 2022. gada 30. septembrim), Augstskolu reģistru, Licencēto izglītības programmu reģistru, A</w:t>
      </w:r>
      <w:r>
        <w:rPr>
          <w:rFonts w:eastAsia="Times New Roman"/>
          <w:sz w:val="22"/>
          <w:szCs w:val="22"/>
        </w:rPr>
        <w:t xml:space="preserve">kreditēto izglītības iestāžu reģistru, Akreditēto izglītības programmu reģistru, Pedagogu privātprakses uzsākšanas sertifikātu uzskaites reģistru, Bērnu uzraudzības pakalpojuma sniedzēju reģistru, Psihologu reģistru. </w:t>
      </w:r>
    </w:p>
    <w:p w14:paraId="428C6B9F" w14:textId="77777777" w:rsidR="00087872" w:rsidRDefault="00256B13">
      <w:r>
        <w:rPr>
          <w:rFonts w:eastAsia="Times New Roman"/>
          <w:sz w:val="22"/>
          <w:szCs w:val="22"/>
        </w:rPr>
        <w:t>Papildus kvalitātes dienesta Licencēša</w:t>
      </w:r>
      <w:r>
        <w:rPr>
          <w:rFonts w:eastAsia="Times New Roman"/>
          <w:sz w:val="22"/>
          <w:szCs w:val="22"/>
        </w:rPr>
        <w:t>nas un reģistru departaments (no 2022. gada oktobra – Kvalitātes nodrošināšanas departaments) turpināja regulāri sniegt informāciju Pilsonības un migrācijas lietu pārvaldei Latvijas Republikas pilsonības piešķiršanai. Sniegta informācija par 51 Valsts izgl</w:t>
      </w:r>
      <w:r>
        <w:rPr>
          <w:rFonts w:eastAsia="Times New Roman"/>
          <w:sz w:val="22"/>
          <w:szCs w:val="22"/>
        </w:rPr>
        <w:t xml:space="preserve">ītības informācijas sistēmā (VIIS) reģistrētas personas mācībām. </w:t>
      </w:r>
      <w:bookmarkStart w:id="27" w:name="_Toc456011949"/>
      <w:bookmarkStart w:id="28" w:name="_Toc456012536"/>
    </w:p>
    <w:p w14:paraId="200990CD" w14:textId="77777777" w:rsidR="00087872" w:rsidRDefault="00256B13">
      <w:r>
        <w:rPr>
          <w:rFonts w:eastAsia="Times New Roman"/>
          <w:b/>
          <w:i/>
          <w:color w:val="500E8D"/>
        </w:rPr>
        <w:t>Izglītības iestāžu un zinātnisko institūciju reģistrācija</w:t>
      </w:r>
      <w:bookmarkEnd w:id="27"/>
      <w:bookmarkEnd w:id="28"/>
      <w:r>
        <w:rPr>
          <w:rFonts w:eastAsia="Times New Roman"/>
          <w:b/>
          <w:i/>
          <w:color w:val="500E8D"/>
        </w:rPr>
        <w:t xml:space="preserve"> </w:t>
      </w:r>
    </w:p>
    <w:p w14:paraId="2A04BA60" w14:textId="77777777" w:rsidR="00087872" w:rsidRDefault="00256B13">
      <w:pPr>
        <w:pStyle w:val="Pamatteksts"/>
      </w:pPr>
      <w:r>
        <w:rPr>
          <w:rFonts w:eastAsia="Times New Roman"/>
        </w:rPr>
        <w:t xml:space="preserve">Pārskata periodā kvalitātes dienests turpināja Izglītības iestāžu reģistra un Zinātnisko institūciju reģistra datu aktualizāciju (skat. 3. tabulu). </w:t>
      </w:r>
    </w:p>
    <w:p w14:paraId="126ECDAB" w14:textId="77777777" w:rsidR="00087872" w:rsidRDefault="00256B13">
      <w:pPr>
        <w:pStyle w:val="virsraksts60"/>
        <w:contextualSpacing/>
        <w:jc w:val="right"/>
      </w:pPr>
      <w:r>
        <w:rPr>
          <w:b w:val="0"/>
          <w:color w:val="auto"/>
          <w:sz w:val="22"/>
          <w:szCs w:val="22"/>
        </w:rPr>
        <w:t>3. tabula</w:t>
      </w:r>
    </w:p>
    <w:p w14:paraId="3FD4D5F7" w14:textId="77777777" w:rsidR="00087872" w:rsidRDefault="00256B13">
      <w:pPr>
        <w:jc w:val="center"/>
      </w:pPr>
      <w:r>
        <w:rPr>
          <w:rFonts w:eastAsia="Times New Roman"/>
          <w:i/>
          <w:sz w:val="22"/>
          <w:szCs w:val="22"/>
        </w:rPr>
        <w:t>Izglītības iestāžu un zinātnisko institūciju reģistrācija 2022. gadā</w:t>
      </w:r>
    </w:p>
    <w:tbl>
      <w:tblPr>
        <w:tblStyle w:val="Reatabula"/>
        <w:tblW w:w="9351" w:type="dxa"/>
        <w:tblLayout w:type="fixed"/>
        <w:tblLook w:val="04A0" w:firstRow="1" w:lastRow="0" w:firstColumn="1" w:lastColumn="0" w:noHBand="0" w:noVBand="1"/>
      </w:tblPr>
      <w:tblGrid>
        <w:gridCol w:w="2328"/>
        <w:gridCol w:w="5178"/>
        <w:gridCol w:w="1845"/>
      </w:tblGrid>
      <w:tr w:rsidR="00087872" w14:paraId="4F8A0FBB" w14:textId="77777777">
        <w:tc>
          <w:tcPr>
            <w:tcW w:w="2328" w:type="dxa"/>
            <w:vMerge w:val="restart"/>
          </w:tcPr>
          <w:p w14:paraId="63212B16" w14:textId="77777777" w:rsidR="00087872" w:rsidRDefault="00256B13">
            <w:pPr>
              <w:widowControl w:val="0"/>
              <w:spacing w:after="0" w:line="240" w:lineRule="auto"/>
              <w:rPr>
                <w:b/>
                <w:bCs/>
                <w:sz w:val="22"/>
                <w:szCs w:val="22"/>
              </w:rPr>
            </w:pPr>
            <w:r>
              <w:rPr>
                <w:b/>
                <w:bCs/>
                <w:sz w:val="22"/>
                <w:szCs w:val="22"/>
              </w:rPr>
              <w:t>Zinātniskās institūcijas</w:t>
            </w:r>
          </w:p>
        </w:tc>
        <w:tc>
          <w:tcPr>
            <w:tcW w:w="5178" w:type="dxa"/>
          </w:tcPr>
          <w:p w14:paraId="0A7EDA57" w14:textId="77777777" w:rsidR="00087872" w:rsidRDefault="00256B13">
            <w:pPr>
              <w:widowControl w:val="0"/>
              <w:spacing w:after="0" w:line="240" w:lineRule="auto"/>
              <w:jc w:val="right"/>
              <w:rPr>
                <w:sz w:val="22"/>
                <w:szCs w:val="22"/>
              </w:rPr>
            </w:pPr>
            <w:r>
              <w:rPr>
                <w:rFonts w:eastAsia="Times New Roman"/>
                <w:sz w:val="22"/>
                <w:szCs w:val="22"/>
              </w:rPr>
              <w:t>Ter</w:t>
            </w:r>
            <w:r>
              <w:rPr>
                <w:rFonts w:eastAsia="Times New Roman"/>
                <w:sz w:val="22"/>
                <w:szCs w:val="22"/>
              </w:rPr>
              <w:t>miņa pagarinājumi</w:t>
            </w:r>
          </w:p>
        </w:tc>
        <w:tc>
          <w:tcPr>
            <w:tcW w:w="1845" w:type="dxa"/>
          </w:tcPr>
          <w:p w14:paraId="3F8AEBEF" w14:textId="77777777" w:rsidR="00087872" w:rsidRDefault="00256B13">
            <w:pPr>
              <w:widowControl w:val="0"/>
              <w:spacing w:after="0" w:line="240" w:lineRule="auto"/>
              <w:jc w:val="center"/>
              <w:rPr>
                <w:sz w:val="22"/>
                <w:szCs w:val="22"/>
              </w:rPr>
            </w:pPr>
            <w:r>
              <w:rPr>
                <w:sz w:val="22"/>
                <w:szCs w:val="22"/>
              </w:rPr>
              <w:t>1</w:t>
            </w:r>
          </w:p>
        </w:tc>
      </w:tr>
      <w:tr w:rsidR="00087872" w14:paraId="2D137D1E" w14:textId="77777777">
        <w:tc>
          <w:tcPr>
            <w:tcW w:w="2328" w:type="dxa"/>
            <w:vMerge/>
          </w:tcPr>
          <w:p w14:paraId="7E8A65F3" w14:textId="77777777" w:rsidR="00087872" w:rsidRDefault="00087872">
            <w:pPr>
              <w:widowControl w:val="0"/>
              <w:spacing w:after="0" w:line="240" w:lineRule="auto"/>
              <w:rPr>
                <w:b/>
                <w:bCs/>
                <w:sz w:val="22"/>
                <w:szCs w:val="22"/>
              </w:rPr>
            </w:pPr>
          </w:p>
        </w:tc>
        <w:tc>
          <w:tcPr>
            <w:tcW w:w="5178" w:type="dxa"/>
          </w:tcPr>
          <w:p w14:paraId="1E76267F" w14:textId="77777777" w:rsidR="00087872" w:rsidRDefault="00256B13">
            <w:pPr>
              <w:widowControl w:val="0"/>
              <w:spacing w:after="0" w:line="240" w:lineRule="auto"/>
              <w:jc w:val="right"/>
              <w:rPr>
                <w:sz w:val="22"/>
                <w:szCs w:val="22"/>
              </w:rPr>
            </w:pPr>
            <w:r>
              <w:rPr>
                <w:sz w:val="22"/>
                <w:szCs w:val="22"/>
              </w:rPr>
              <w:t>Reģistrētas</w:t>
            </w:r>
          </w:p>
        </w:tc>
        <w:tc>
          <w:tcPr>
            <w:tcW w:w="1845" w:type="dxa"/>
          </w:tcPr>
          <w:p w14:paraId="35AF9C7F" w14:textId="77777777" w:rsidR="00087872" w:rsidRDefault="00256B13">
            <w:pPr>
              <w:widowControl w:val="0"/>
              <w:spacing w:after="0" w:line="240" w:lineRule="auto"/>
              <w:jc w:val="center"/>
              <w:rPr>
                <w:sz w:val="22"/>
                <w:szCs w:val="22"/>
              </w:rPr>
            </w:pPr>
            <w:r>
              <w:rPr>
                <w:sz w:val="22"/>
                <w:szCs w:val="22"/>
              </w:rPr>
              <w:t>1</w:t>
            </w:r>
          </w:p>
        </w:tc>
      </w:tr>
      <w:tr w:rsidR="00087872" w14:paraId="244D83C7" w14:textId="77777777">
        <w:tc>
          <w:tcPr>
            <w:tcW w:w="2328" w:type="dxa"/>
            <w:vMerge/>
          </w:tcPr>
          <w:p w14:paraId="5FB3BE97" w14:textId="77777777" w:rsidR="00087872" w:rsidRDefault="00087872">
            <w:pPr>
              <w:widowControl w:val="0"/>
              <w:spacing w:after="0" w:line="240" w:lineRule="auto"/>
              <w:rPr>
                <w:b/>
                <w:bCs/>
                <w:sz w:val="22"/>
                <w:szCs w:val="22"/>
              </w:rPr>
            </w:pPr>
          </w:p>
        </w:tc>
        <w:tc>
          <w:tcPr>
            <w:tcW w:w="5178" w:type="dxa"/>
          </w:tcPr>
          <w:p w14:paraId="0DA386C4" w14:textId="77777777" w:rsidR="00087872" w:rsidRDefault="00256B13">
            <w:pPr>
              <w:widowControl w:val="0"/>
              <w:spacing w:after="0" w:line="240" w:lineRule="auto"/>
              <w:jc w:val="right"/>
              <w:rPr>
                <w:sz w:val="22"/>
                <w:szCs w:val="22"/>
              </w:rPr>
            </w:pPr>
            <w:r>
              <w:rPr>
                <w:sz w:val="22"/>
                <w:szCs w:val="22"/>
              </w:rPr>
              <w:t>Izmaiņas/grozījumi</w:t>
            </w:r>
          </w:p>
        </w:tc>
        <w:tc>
          <w:tcPr>
            <w:tcW w:w="1845" w:type="dxa"/>
          </w:tcPr>
          <w:p w14:paraId="5575D3DC" w14:textId="77777777" w:rsidR="00087872" w:rsidRDefault="00256B13">
            <w:pPr>
              <w:widowControl w:val="0"/>
              <w:spacing w:after="0" w:line="240" w:lineRule="auto"/>
              <w:jc w:val="center"/>
              <w:rPr>
                <w:sz w:val="22"/>
                <w:szCs w:val="22"/>
              </w:rPr>
            </w:pPr>
            <w:r>
              <w:rPr>
                <w:sz w:val="22"/>
                <w:szCs w:val="22"/>
              </w:rPr>
              <w:t>7</w:t>
            </w:r>
          </w:p>
        </w:tc>
      </w:tr>
      <w:tr w:rsidR="00087872" w14:paraId="7F660623" w14:textId="77777777">
        <w:tc>
          <w:tcPr>
            <w:tcW w:w="2328" w:type="dxa"/>
            <w:vMerge/>
          </w:tcPr>
          <w:p w14:paraId="4CC52F80" w14:textId="77777777" w:rsidR="00087872" w:rsidRDefault="00087872">
            <w:pPr>
              <w:widowControl w:val="0"/>
              <w:spacing w:after="0" w:line="240" w:lineRule="auto"/>
              <w:rPr>
                <w:b/>
                <w:bCs/>
                <w:sz w:val="22"/>
                <w:szCs w:val="22"/>
              </w:rPr>
            </w:pPr>
          </w:p>
        </w:tc>
        <w:tc>
          <w:tcPr>
            <w:tcW w:w="5178" w:type="dxa"/>
          </w:tcPr>
          <w:p w14:paraId="43BC22E8" w14:textId="77777777" w:rsidR="00087872" w:rsidRDefault="00256B13">
            <w:pPr>
              <w:widowControl w:val="0"/>
              <w:spacing w:after="0" w:line="240" w:lineRule="auto"/>
              <w:jc w:val="right"/>
              <w:rPr>
                <w:sz w:val="22"/>
                <w:szCs w:val="22"/>
              </w:rPr>
            </w:pPr>
            <w:r>
              <w:rPr>
                <w:sz w:val="22"/>
                <w:szCs w:val="22"/>
              </w:rPr>
              <w:t>Reorganizētas</w:t>
            </w:r>
          </w:p>
        </w:tc>
        <w:tc>
          <w:tcPr>
            <w:tcW w:w="1845" w:type="dxa"/>
          </w:tcPr>
          <w:p w14:paraId="2393FD38" w14:textId="77777777" w:rsidR="00087872" w:rsidRDefault="00256B13">
            <w:pPr>
              <w:widowControl w:val="0"/>
              <w:spacing w:after="0" w:line="240" w:lineRule="auto"/>
              <w:jc w:val="center"/>
              <w:rPr>
                <w:sz w:val="22"/>
                <w:szCs w:val="22"/>
              </w:rPr>
            </w:pPr>
            <w:r>
              <w:rPr>
                <w:sz w:val="22"/>
                <w:szCs w:val="22"/>
              </w:rPr>
              <w:t>-</w:t>
            </w:r>
          </w:p>
        </w:tc>
      </w:tr>
      <w:tr w:rsidR="00087872" w14:paraId="25119D3C" w14:textId="77777777">
        <w:tc>
          <w:tcPr>
            <w:tcW w:w="2328" w:type="dxa"/>
            <w:vMerge/>
          </w:tcPr>
          <w:p w14:paraId="080660C8" w14:textId="77777777" w:rsidR="00087872" w:rsidRDefault="00087872">
            <w:pPr>
              <w:widowControl w:val="0"/>
              <w:spacing w:after="0" w:line="240" w:lineRule="auto"/>
              <w:rPr>
                <w:b/>
                <w:bCs/>
                <w:sz w:val="22"/>
                <w:szCs w:val="22"/>
              </w:rPr>
            </w:pPr>
          </w:p>
        </w:tc>
        <w:tc>
          <w:tcPr>
            <w:tcW w:w="5178" w:type="dxa"/>
          </w:tcPr>
          <w:p w14:paraId="77BB9A11" w14:textId="77777777" w:rsidR="00087872" w:rsidRDefault="00256B13">
            <w:pPr>
              <w:widowControl w:val="0"/>
              <w:spacing w:after="0" w:line="240" w:lineRule="auto"/>
              <w:jc w:val="right"/>
              <w:rPr>
                <w:sz w:val="22"/>
                <w:szCs w:val="22"/>
              </w:rPr>
            </w:pPr>
            <w:r>
              <w:rPr>
                <w:sz w:val="22"/>
                <w:szCs w:val="22"/>
              </w:rPr>
              <w:t>Izslēgtas</w:t>
            </w:r>
          </w:p>
        </w:tc>
        <w:tc>
          <w:tcPr>
            <w:tcW w:w="1845" w:type="dxa"/>
          </w:tcPr>
          <w:p w14:paraId="73126DF7" w14:textId="77777777" w:rsidR="00087872" w:rsidRDefault="00256B13">
            <w:pPr>
              <w:widowControl w:val="0"/>
              <w:spacing w:after="0" w:line="240" w:lineRule="auto"/>
              <w:jc w:val="center"/>
              <w:rPr>
                <w:sz w:val="22"/>
                <w:szCs w:val="22"/>
              </w:rPr>
            </w:pPr>
            <w:r>
              <w:rPr>
                <w:sz w:val="22"/>
                <w:szCs w:val="22"/>
              </w:rPr>
              <w:t>-</w:t>
            </w:r>
          </w:p>
        </w:tc>
      </w:tr>
      <w:tr w:rsidR="00087872" w14:paraId="15094493" w14:textId="77777777">
        <w:tc>
          <w:tcPr>
            <w:tcW w:w="2328" w:type="dxa"/>
            <w:vMerge/>
          </w:tcPr>
          <w:p w14:paraId="2FC9CE0E" w14:textId="77777777" w:rsidR="00087872" w:rsidRDefault="00087872">
            <w:pPr>
              <w:widowControl w:val="0"/>
              <w:spacing w:after="0" w:line="240" w:lineRule="auto"/>
              <w:rPr>
                <w:b/>
                <w:bCs/>
                <w:sz w:val="22"/>
                <w:szCs w:val="22"/>
              </w:rPr>
            </w:pPr>
          </w:p>
        </w:tc>
        <w:tc>
          <w:tcPr>
            <w:tcW w:w="5178" w:type="dxa"/>
          </w:tcPr>
          <w:p w14:paraId="6BF2BEF5" w14:textId="77777777" w:rsidR="00087872" w:rsidRDefault="00256B13">
            <w:pPr>
              <w:widowControl w:val="0"/>
              <w:spacing w:after="0" w:line="240" w:lineRule="auto"/>
              <w:jc w:val="right"/>
              <w:rPr>
                <w:sz w:val="22"/>
                <w:szCs w:val="22"/>
              </w:rPr>
            </w:pPr>
            <w:r>
              <w:rPr>
                <w:sz w:val="22"/>
                <w:szCs w:val="22"/>
              </w:rPr>
              <w:t>Atteikums reģistrēt</w:t>
            </w:r>
          </w:p>
        </w:tc>
        <w:tc>
          <w:tcPr>
            <w:tcW w:w="1845" w:type="dxa"/>
          </w:tcPr>
          <w:p w14:paraId="5A94AEF8" w14:textId="77777777" w:rsidR="00087872" w:rsidRDefault="00256B13">
            <w:pPr>
              <w:widowControl w:val="0"/>
              <w:spacing w:after="0" w:line="240" w:lineRule="auto"/>
              <w:jc w:val="center"/>
              <w:rPr>
                <w:sz w:val="22"/>
                <w:szCs w:val="22"/>
              </w:rPr>
            </w:pPr>
            <w:r>
              <w:rPr>
                <w:sz w:val="22"/>
                <w:szCs w:val="22"/>
              </w:rPr>
              <w:t>-</w:t>
            </w:r>
          </w:p>
        </w:tc>
      </w:tr>
      <w:tr w:rsidR="00087872" w14:paraId="4DC33A37" w14:textId="77777777">
        <w:tc>
          <w:tcPr>
            <w:tcW w:w="2328" w:type="dxa"/>
            <w:vMerge w:val="restart"/>
          </w:tcPr>
          <w:p w14:paraId="1F988522" w14:textId="77777777" w:rsidR="00087872" w:rsidRDefault="00256B13">
            <w:pPr>
              <w:widowControl w:val="0"/>
              <w:spacing w:after="0" w:line="240" w:lineRule="auto"/>
              <w:rPr>
                <w:b/>
                <w:bCs/>
                <w:sz w:val="22"/>
                <w:szCs w:val="22"/>
              </w:rPr>
            </w:pPr>
            <w:r>
              <w:rPr>
                <w:b/>
                <w:bCs/>
                <w:sz w:val="22"/>
                <w:szCs w:val="22"/>
              </w:rPr>
              <w:t>Izglītības iestādes</w:t>
            </w:r>
          </w:p>
        </w:tc>
        <w:tc>
          <w:tcPr>
            <w:tcW w:w="5178" w:type="dxa"/>
          </w:tcPr>
          <w:p w14:paraId="39383900" w14:textId="77777777" w:rsidR="00087872" w:rsidRDefault="00256B13">
            <w:pPr>
              <w:widowControl w:val="0"/>
              <w:spacing w:after="0" w:line="240" w:lineRule="auto"/>
              <w:jc w:val="right"/>
              <w:rPr>
                <w:sz w:val="22"/>
                <w:szCs w:val="22"/>
              </w:rPr>
            </w:pPr>
            <w:r>
              <w:rPr>
                <w:sz w:val="22"/>
                <w:szCs w:val="22"/>
              </w:rPr>
              <w:t xml:space="preserve">Atlikts reģistrēt/izdarīt grozījumus, t.sk. pagarināts termiņš administratīvā akta izdošanai </w:t>
            </w:r>
          </w:p>
        </w:tc>
        <w:tc>
          <w:tcPr>
            <w:tcW w:w="1845" w:type="dxa"/>
          </w:tcPr>
          <w:p w14:paraId="3CEF9210" w14:textId="77777777" w:rsidR="00087872" w:rsidRDefault="00256B13">
            <w:pPr>
              <w:widowControl w:val="0"/>
              <w:spacing w:after="0" w:line="240" w:lineRule="auto"/>
              <w:jc w:val="center"/>
              <w:rPr>
                <w:sz w:val="22"/>
                <w:szCs w:val="22"/>
              </w:rPr>
            </w:pPr>
            <w:r>
              <w:rPr>
                <w:sz w:val="22"/>
                <w:szCs w:val="22"/>
              </w:rPr>
              <w:t>22</w:t>
            </w:r>
          </w:p>
        </w:tc>
      </w:tr>
      <w:tr w:rsidR="00087872" w14:paraId="0A585307" w14:textId="77777777">
        <w:tc>
          <w:tcPr>
            <w:tcW w:w="2328" w:type="dxa"/>
            <w:vMerge/>
          </w:tcPr>
          <w:p w14:paraId="559D37FB" w14:textId="77777777" w:rsidR="00087872" w:rsidRDefault="00087872">
            <w:pPr>
              <w:widowControl w:val="0"/>
              <w:spacing w:after="0" w:line="240" w:lineRule="auto"/>
              <w:rPr>
                <w:b/>
                <w:bCs/>
                <w:sz w:val="22"/>
                <w:szCs w:val="22"/>
              </w:rPr>
            </w:pPr>
          </w:p>
        </w:tc>
        <w:tc>
          <w:tcPr>
            <w:tcW w:w="5178" w:type="dxa"/>
          </w:tcPr>
          <w:p w14:paraId="0B797686" w14:textId="77777777" w:rsidR="00087872" w:rsidRDefault="00256B13">
            <w:pPr>
              <w:widowControl w:val="0"/>
              <w:spacing w:after="0" w:line="240" w:lineRule="auto"/>
              <w:jc w:val="right"/>
              <w:rPr>
                <w:sz w:val="22"/>
                <w:szCs w:val="22"/>
              </w:rPr>
            </w:pPr>
            <w:r>
              <w:rPr>
                <w:sz w:val="22"/>
                <w:szCs w:val="22"/>
              </w:rPr>
              <w:t xml:space="preserve">Likvidētas/svītrotas, tai skaitā reorganizācijas un tipa maiņas rezultātā </w:t>
            </w:r>
          </w:p>
        </w:tc>
        <w:tc>
          <w:tcPr>
            <w:tcW w:w="1845" w:type="dxa"/>
          </w:tcPr>
          <w:p w14:paraId="4DC49A17" w14:textId="77777777" w:rsidR="00087872" w:rsidRDefault="00256B13">
            <w:pPr>
              <w:widowControl w:val="0"/>
              <w:spacing w:after="0" w:line="240" w:lineRule="auto"/>
              <w:jc w:val="center"/>
              <w:rPr>
                <w:sz w:val="22"/>
                <w:szCs w:val="22"/>
              </w:rPr>
            </w:pPr>
            <w:r>
              <w:rPr>
                <w:sz w:val="22"/>
                <w:szCs w:val="22"/>
              </w:rPr>
              <w:t>458</w:t>
            </w:r>
          </w:p>
        </w:tc>
      </w:tr>
      <w:tr w:rsidR="00087872" w14:paraId="5551F3F8" w14:textId="77777777">
        <w:tc>
          <w:tcPr>
            <w:tcW w:w="2328" w:type="dxa"/>
            <w:vMerge/>
          </w:tcPr>
          <w:p w14:paraId="7975F1E1" w14:textId="77777777" w:rsidR="00087872" w:rsidRDefault="00087872">
            <w:pPr>
              <w:widowControl w:val="0"/>
              <w:spacing w:after="0" w:line="240" w:lineRule="auto"/>
              <w:rPr>
                <w:b/>
                <w:bCs/>
                <w:sz w:val="22"/>
                <w:szCs w:val="22"/>
              </w:rPr>
            </w:pPr>
          </w:p>
        </w:tc>
        <w:tc>
          <w:tcPr>
            <w:tcW w:w="5178" w:type="dxa"/>
          </w:tcPr>
          <w:p w14:paraId="3CCD49BD" w14:textId="77777777" w:rsidR="00087872" w:rsidRDefault="00256B13">
            <w:pPr>
              <w:widowControl w:val="0"/>
              <w:spacing w:after="0" w:line="240" w:lineRule="auto"/>
              <w:jc w:val="right"/>
              <w:rPr>
                <w:sz w:val="22"/>
                <w:szCs w:val="22"/>
              </w:rPr>
            </w:pPr>
            <w:r>
              <w:rPr>
                <w:sz w:val="22"/>
                <w:szCs w:val="22"/>
              </w:rPr>
              <w:t>Reģistrētas un grozījumi reorganizācijas vai tipa maiņas rezultātā</w:t>
            </w:r>
          </w:p>
        </w:tc>
        <w:tc>
          <w:tcPr>
            <w:tcW w:w="1845" w:type="dxa"/>
          </w:tcPr>
          <w:p w14:paraId="2A929B06" w14:textId="77777777" w:rsidR="00087872" w:rsidRDefault="00256B13">
            <w:pPr>
              <w:widowControl w:val="0"/>
              <w:spacing w:after="0" w:line="240" w:lineRule="auto"/>
              <w:jc w:val="center"/>
              <w:rPr>
                <w:sz w:val="22"/>
                <w:szCs w:val="22"/>
              </w:rPr>
            </w:pPr>
            <w:r>
              <w:rPr>
                <w:sz w:val="22"/>
                <w:szCs w:val="22"/>
              </w:rPr>
              <w:t>163</w:t>
            </w:r>
          </w:p>
        </w:tc>
      </w:tr>
      <w:tr w:rsidR="00087872" w14:paraId="4EADE092" w14:textId="77777777">
        <w:tc>
          <w:tcPr>
            <w:tcW w:w="2328" w:type="dxa"/>
            <w:vMerge/>
          </w:tcPr>
          <w:p w14:paraId="4409532D" w14:textId="77777777" w:rsidR="00087872" w:rsidRDefault="00087872">
            <w:pPr>
              <w:widowControl w:val="0"/>
              <w:spacing w:after="0" w:line="240" w:lineRule="auto"/>
              <w:rPr>
                <w:b/>
                <w:bCs/>
                <w:sz w:val="22"/>
                <w:szCs w:val="22"/>
              </w:rPr>
            </w:pPr>
          </w:p>
        </w:tc>
        <w:tc>
          <w:tcPr>
            <w:tcW w:w="5178" w:type="dxa"/>
          </w:tcPr>
          <w:p w14:paraId="34C8B645" w14:textId="77777777" w:rsidR="00087872" w:rsidRDefault="00256B13">
            <w:pPr>
              <w:widowControl w:val="0"/>
              <w:spacing w:after="0" w:line="240" w:lineRule="auto"/>
              <w:jc w:val="right"/>
              <w:rPr>
                <w:sz w:val="22"/>
                <w:szCs w:val="22"/>
              </w:rPr>
            </w:pPr>
            <w:r>
              <w:rPr>
                <w:sz w:val="22"/>
                <w:szCs w:val="22"/>
              </w:rPr>
              <w:t>Apstrīdēšanas lēmums</w:t>
            </w:r>
          </w:p>
        </w:tc>
        <w:tc>
          <w:tcPr>
            <w:tcW w:w="1845" w:type="dxa"/>
          </w:tcPr>
          <w:p w14:paraId="13055581" w14:textId="77777777" w:rsidR="00087872" w:rsidRDefault="00256B13">
            <w:pPr>
              <w:widowControl w:val="0"/>
              <w:spacing w:after="0" w:line="240" w:lineRule="auto"/>
              <w:jc w:val="center"/>
              <w:rPr>
                <w:sz w:val="22"/>
                <w:szCs w:val="22"/>
              </w:rPr>
            </w:pPr>
            <w:r>
              <w:rPr>
                <w:sz w:val="22"/>
                <w:szCs w:val="22"/>
              </w:rPr>
              <w:t>1</w:t>
            </w:r>
          </w:p>
        </w:tc>
      </w:tr>
      <w:tr w:rsidR="00087872" w14:paraId="4C0F618D" w14:textId="77777777">
        <w:tc>
          <w:tcPr>
            <w:tcW w:w="2328" w:type="dxa"/>
            <w:vMerge/>
          </w:tcPr>
          <w:p w14:paraId="7F8D2F68" w14:textId="77777777" w:rsidR="00087872" w:rsidRDefault="00087872">
            <w:pPr>
              <w:widowControl w:val="0"/>
              <w:spacing w:after="0" w:line="240" w:lineRule="auto"/>
              <w:rPr>
                <w:b/>
                <w:bCs/>
                <w:sz w:val="22"/>
                <w:szCs w:val="22"/>
              </w:rPr>
            </w:pPr>
          </w:p>
        </w:tc>
        <w:tc>
          <w:tcPr>
            <w:tcW w:w="5178" w:type="dxa"/>
          </w:tcPr>
          <w:p w14:paraId="666097F9" w14:textId="77777777" w:rsidR="00087872" w:rsidRDefault="00256B13">
            <w:pPr>
              <w:widowControl w:val="0"/>
              <w:spacing w:after="0" w:line="240" w:lineRule="auto"/>
              <w:jc w:val="right"/>
              <w:rPr>
                <w:sz w:val="22"/>
                <w:szCs w:val="22"/>
              </w:rPr>
            </w:pPr>
            <w:r>
              <w:rPr>
                <w:sz w:val="22"/>
                <w:szCs w:val="22"/>
              </w:rPr>
              <w:t>Lēmums par pārrakstīšanās kļūdas labojumu lēmumā</w:t>
            </w:r>
          </w:p>
        </w:tc>
        <w:tc>
          <w:tcPr>
            <w:tcW w:w="1845" w:type="dxa"/>
          </w:tcPr>
          <w:p w14:paraId="22B31A94" w14:textId="77777777" w:rsidR="00087872" w:rsidRDefault="00256B13">
            <w:pPr>
              <w:widowControl w:val="0"/>
              <w:spacing w:after="0" w:line="240" w:lineRule="auto"/>
              <w:jc w:val="center"/>
              <w:rPr>
                <w:sz w:val="22"/>
                <w:szCs w:val="22"/>
              </w:rPr>
            </w:pPr>
            <w:r>
              <w:rPr>
                <w:sz w:val="22"/>
                <w:szCs w:val="22"/>
              </w:rPr>
              <w:t>6</w:t>
            </w:r>
          </w:p>
        </w:tc>
      </w:tr>
      <w:tr w:rsidR="00087872" w14:paraId="2C15E5DF" w14:textId="77777777">
        <w:tc>
          <w:tcPr>
            <w:tcW w:w="2328" w:type="dxa"/>
            <w:vMerge/>
          </w:tcPr>
          <w:p w14:paraId="051E4A7F" w14:textId="77777777" w:rsidR="00087872" w:rsidRDefault="00087872">
            <w:pPr>
              <w:widowControl w:val="0"/>
              <w:spacing w:after="0" w:line="240" w:lineRule="auto"/>
              <w:rPr>
                <w:b/>
                <w:bCs/>
                <w:sz w:val="22"/>
                <w:szCs w:val="22"/>
              </w:rPr>
            </w:pPr>
          </w:p>
        </w:tc>
        <w:tc>
          <w:tcPr>
            <w:tcW w:w="5178" w:type="dxa"/>
          </w:tcPr>
          <w:p w14:paraId="761CAFAB" w14:textId="77777777" w:rsidR="00087872" w:rsidRDefault="00256B13">
            <w:pPr>
              <w:widowControl w:val="0"/>
              <w:spacing w:after="0" w:line="240" w:lineRule="auto"/>
              <w:jc w:val="right"/>
              <w:rPr>
                <w:sz w:val="22"/>
                <w:szCs w:val="22"/>
              </w:rPr>
            </w:pPr>
            <w:r>
              <w:rPr>
                <w:sz w:val="22"/>
                <w:szCs w:val="22"/>
              </w:rPr>
              <w:t>Reģistrācijas atteikumi</w:t>
            </w:r>
          </w:p>
        </w:tc>
        <w:tc>
          <w:tcPr>
            <w:tcW w:w="1845" w:type="dxa"/>
          </w:tcPr>
          <w:p w14:paraId="458C228A" w14:textId="77777777" w:rsidR="00087872" w:rsidRDefault="00256B13">
            <w:pPr>
              <w:widowControl w:val="0"/>
              <w:spacing w:after="0" w:line="240" w:lineRule="auto"/>
              <w:jc w:val="center"/>
              <w:rPr>
                <w:sz w:val="22"/>
                <w:szCs w:val="22"/>
              </w:rPr>
            </w:pPr>
            <w:r>
              <w:rPr>
                <w:sz w:val="22"/>
                <w:szCs w:val="22"/>
              </w:rPr>
              <w:t>3</w:t>
            </w:r>
          </w:p>
        </w:tc>
      </w:tr>
      <w:tr w:rsidR="00087872" w14:paraId="5868B92B" w14:textId="77777777">
        <w:tc>
          <w:tcPr>
            <w:tcW w:w="2328" w:type="dxa"/>
            <w:vMerge/>
          </w:tcPr>
          <w:p w14:paraId="5F205867" w14:textId="77777777" w:rsidR="00087872" w:rsidRDefault="00087872">
            <w:pPr>
              <w:widowControl w:val="0"/>
              <w:spacing w:after="0" w:line="240" w:lineRule="auto"/>
              <w:rPr>
                <w:b/>
                <w:bCs/>
                <w:sz w:val="22"/>
                <w:szCs w:val="22"/>
              </w:rPr>
            </w:pPr>
          </w:p>
        </w:tc>
        <w:tc>
          <w:tcPr>
            <w:tcW w:w="5178" w:type="dxa"/>
          </w:tcPr>
          <w:p w14:paraId="76EC50B0" w14:textId="77777777" w:rsidR="00087872" w:rsidRDefault="00256B13">
            <w:pPr>
              <w:widowControl w:val="0"/>
              <w:spacing w:after="0" w:line="240" w:lineRule="auto"/>
              <w:jc w:val="right"/>
              <w:rPr>
                <w:sz w:val="22"/>
                <w:szCs w:val="22"/>
              </w:rPr>
            </w:pPr>
            <w:r>
              <w:rPr>
                <w:sz w:val="22"/>
                <w:szCs w:val="22"/>
              </w:rPr>
              <w:t>Atcelts lēmums</w:t>
            </w:r>
          </w:p>
        </w:tc>
        <w:tc>
          <w:tcPr>
            <w:tcW w:w="1845" w:type="dxa"/>
          </w:tcPr>
          <w:p w14:paraId="62E07801" w14:textId="77777777" w:rsidR="00087872" w:rsidRDefault="00256B13">
            <w:pPr>
              <w:widowControl w:val="0"/>
              <w:spacing w:after="0" w:line="240" w:lineRule="auto"/>
              <w:jc w:val="center"/>
              <w:rPr>
                <w:sz w:val="22"/>
                <w:szCs w:val="22"/>
              </w:rPr>
            </w:pPr>
            <w:r>
              <w:rPr>
                <w:sz w:val="22"/>
                <w:szCs w:val="22"/>
              </w:rPr>
              <w:t>2</w:t>
            </w:r>
          </w:p>
        </w:tc>
      </w:tr>
      <w:tr w:rsidR="00087872" w14:paraId="47E7A782" w14:textId="77777777">
        <w:tc>
          <w:tcPr>
            <w:tcW w:w="2328" w:type="dxa"/>
            <w:vMerge/>
          </w:tcPr>
          <w:p w14:paraId="44949BA9" w14:textId="77777777" w:rsidR="00087872" w:rsidRDefault="00087872">
            <w:pPr>
              <w:widowControl w:val="0"/>
              <w:spacing w:after="0" w:line="240" w:lineRule="auto"/>
              <w:rPr>
                <w:b/>
                <w:bCs/>
                <w:sz w:val="22"/>
                <w:szCs w:val="22"/>
              </w:rPr>
            </w:pPr>
          </w:p>
        </w:tc>
        <w:tc>
          <w:tcPr>
            <w:tcW w:w="5178" w:type="dxa"/>
          </w:tcPr>
          <w:p w14:paraId="14247199" w14:textId="77777777" w:rsidR="00087872" w:rsidRDefault="00256B13">
            <w:pPr>
              <w:widowControl w:val="0"/>
              <w:spacing w:after="0" w:line="240" w:lineRule="auto"/>
              <w:jc w:val="right"/>
              <w:rPr>
                <w:sz w:val="22"/>
                <w:szCs w:val="22"/>
              </w:rPr>
            </w:pPr>
            <w:r>
              <w:rPr>
                <w:sz w:val="22"/>
                <w:szCs w:val="22"/>
              </w:rPr>
              <w:t>Lēmums par augstskolas filiāles izslēgšanu no Augstskolu reģistra</w:t>
            </w:r>
          </w:p>
        </w:tc>
        <w:tc>
          <w:tcPr>
            <w:tcW w:w="1845" w:type="dxa"/>
          </w:tcPr>
          <w:p w14:paraId="5526ADD5" w14:textId="77777777" w:rsidR="00087872" w:rsidRDefault="00256B13">
            <w:pPr>
              <w:widowControl w:val="0"/>
              <w:spacing w:after="0" w:line="240" w:lineRule="auto"/>
              <w:jc w:val="center"/>
              <w:rPr>
                <w:sz w:val="22"/>
                <w:szCs w:val="22"/>
              </w:rPr>
            </w:pPr>
            <w:r>
              <w:rPr>
                <w:sz w:val="22"/>
                <w:szCs w:val="22"/>
              </w:rPr>
              <w:t>1</w:t>
            </w:r>
          </w:p>
        </w:tc>
      </w:tr>
      <w:tr w:rsidR="00087872" w14:paraId="5DFD542C" w14:textId="77777777">
        <w:tc>
          <w:tcPr>
            <w:tcW w:w="2328" w:type="dxa"/>
            <w:vMerge/>
          </w:tcPr>
          <w:p w14:paraId="1D120BFB" w14:textId="77777777" w:rsidR="00087872" w:rsidRDefault="00087872">
            <w:pPr>
              <w:widowControl w:val="0"/>
              <w:spacing w:after="0" w:line="240" w:lineRule="auto"/>
              <w:rPr>
                <w:b/>
                <w:bCs/>
                <w:sz w:val="22"/>
                <w:szCs w:val="22"/>
              </w:rPr>
            </w:pPr>
          </w:p>
        </w:tc>
        <w:tc>
          <w:tcPr>
            <w:tcW w:w="5178" w:type="dxa"/>
          </w:tcPr>
          <w:p w14:paraId="58626949" w14:textId="77777777" w:rsidR="00087872" w:rsidRDefault="00256B13">
            <w:pPr>
              <w:widowControl w:val="0"/>
              <w:spacing w:after="0" w:line="240" w:lineRule="auto"/>
              <w:jc w:val="right"/>
              <w:rPr>
                <w:sz w:val="22"/>
                <w:szCs w:val="22"/>
              </w:rPr>
            </w:pPr>
            <w:r>
              <w:rPr>
                <w:sz w:val="22"/>
                <w:szCs w:val="22"/>
              </w:rPr>
              <w:t xml:space="preserve">Grozījumu izdarīšana Augstskolu reģistrā </w:t>
            </w:r>
          </w:p>
        </w:tc>
        <w:tc>
          <w:tcPr>
            <w:tcW w:w="1845" w:type="dxa"/>
          </w:tcPr>
          <w:p w14:paraId="526DEBD6" w14:textId="77777777" w:rsidR="00087872" w:rsidRDefault="00256B13">
            <w:pPr>
              <w:widowControl w:val="0"/>
              <w:spacing w:after="0" w:line="240" w:lineRule="auto"/>
              <w:jc w:val="center"/>
              <w:rPr>
                <w:sz w:val="22"/>
                <w:szCs w:val="22"/>
              </w:rPr>
            </w:pPr>
            <w:r>
              <w:rPr>
                <w:sz w:val="22"/>
                <w:szCs w:val="22"/>
              </w:rPr>
              <w:t>11</w:t>
            </w:r>
          </w:p>
        </w:tc>
      </w:tr>
      <w:tr w:rsidR="00087872" w14:paraId="2AABD493" w14:textId="77777777">
        <w:tc>
          <w:tcPr>
            <w:tcW w:w="2328" w:type="dxa"/>
            <w:vMerge/>
          </w:tcPr>
          <w:p w14:paraId="5A92F73F" w14:textId="77777777" w:rsidR="00087872" w:rsidRDefault="00087872">
            <w:pPr>
              <w:widowControl w:val="0"/>
              <w:spacing w:after="0" w:line="240" w:lineRule="auto"/>
              <w:rPr>
                <w:b/>
                <w:bCs/>
                <w:sz w:val="22"/>
                <w:szCs w:val="22"/>
              </w:rPr>
            </w:pPr>
          </w:p>
        </w:tc>
        <w:tc>
          <w:tcPr>
            <w:tcW w:w="5178" w:type="dxa"/>
          </w:tcPr>
          <w:p w14:paraId="53240EDE" w14:textId="77777777" w:rsidR="00087872" w:rsidRDefault="00256B13">
            <w:pPr>
              <w:widowControl w:val="0"/>
              <w:spacing w:after="0" w:line="240" w:lineRule="auto"/>
              <w:jc w:val="right"/>
              <w:rPr>
                <w:sz w:val="22"/>
                <w:szCs w:val="22"/>
              </w:rPr>
            </w:pPr>
            <w:r>
              <w:rPr>
                <w:sz w:val="22"/>
                <w:szCs w:val="22"/>
              </w:rPr>
              <w:t>Lēmums par grozījumu izdarīšanu Izglītības iestāžu reģistrā un atļaujas izsniegšanu starptautiskas izglītības programmas īstenošanai</w:t>
            </w:r>
          </w:p>
        </w:tc>
        <w:tc>
          <w:tcPr>
            <w:tcW w:w="1845" w:type="dxa"/>
          </w:tcPr>
          <w:p w14:paraId="295B3277" w14:textId="77777777" w:rsidR="00087872" w:rsidRDefault="00256B13">
            <w:pPr>
              <w:widowControl w:val="0"/>
              <w:spacing w:after="0" w:line="240" w:lineRule="auto"/>
              <w:jc w:val="center"/>
              <w:rPr>
                <w:sz w:val="22"/>
                <w:szCs w:val="22"/>
              </w:rPr>
            </w:pPr>
            <w:r>
              <w:rPr>
                <w:sz w:val="22"/>
                <w:szCs w:val="22"/>
              </w:rPr>
              <w:t>2</w:t>
            </w:r>
          </w:p>
        </w:tc>
      </w:tr>
    </w:tbl>
    <w:p w14:paraId="1D06E0F9" w14:textId="77777777" w:rsidR="00087872" w:rsidRDefault="00087872">
      <w:pPr>
        <w:pStyle w:val="Pamatteksts"/>
        <w:rPr>
          <w:rFonts w:eastAsia="Times New Roman"/>
        </w:rPr>
      </w:pPr>
    </w:p>
    <w:p w14:paraId="2BF17492" w14:textId="77777777" w:rsidR="00087872" w:rsidRDefault="00256B13">
      <w:pPr>
        <w:pStyle w:val="Pamatteksts"/>
      </w:pPr>
      <w:r>
        <w:rPr>
          <w:rFonts w:eastAsia="Times New Roman"/>
        </w:rPr>
        <w:t>2022. gada 30. septembrī stājās spēkā grozījumi Ministru kabineta 2013. </w:t>
      </w:r>
      <w:r>
        <w:rPr>
          <w:rFonts w:eastAsia="Times New Roman"/>
        </w:rPr>
        <w:t>gada 23. aprīļa noteikumos Nr. 225 "Izglītības kvalitātes valsts dienesta nolikums", kas kvalitātes dienestam vairs neparedz funkciju –</w:t>
      </w:r>
      <w:r>
        <w:t xml:space="preserve"> </w:t>
      </w:r>
      <w:r>
        <w:rPr>
          <w:rFonts w:eastAsia="Times New Roman"/>
        </w:rPr>
        <w:t>kārtot Zinātnisko institūciju reģistru, tostarp izdarīt grozījumus šī reģistra ierakstos. Savukārt, grozījumi Ministru k</w:t>
      </w:r>
      <w:r>
        <w:rPr>
          <w:rFonts w:eastAsia="Times New Roman"/>
        </w:rPr>
        <w:t>abineta 2020. gada 30. jūnija noteikumos Nr. 408 "Latvijas Zinātnes padomes nolikums" paredz Zinātnisko institūciju reģistra kārtošanas funkciju uzticēt Latvijas Zinātnes padomei. Līdz art to Zinātnisko institūciju reģistrs ir nodots Latvijas Zinātnes pado</w:t>
      </w:r>
      <w:r>
        <w:rPr>
          <w:rFonts w:eastAsia="Times New Roman"/>
        </w:rPr>
        <w:t>mei, vienlaikus regulāri sniedzot konsultācijas, lai nodrošinātu Zinātnisko institūciju reģistra darbības nepārtrauktību. Līdz 2022. gada 30. septembrim kvalitātes dienests reģistrēja vienu zinātnisko institūciju, veica 7 izmaiņas reģistrā.</w:t>
      </w:r>
    </w:p>
    <w:p w14:paraId="6911BCC9" w14:textId="77777777" w:rsidR="00087872" w:rsidRDefault="00256B13">
      <w:pPr>
        <w:pStyle w:val="Pamatteksts"/>
      </w:pPr>
      <w:r>
        <w:rPr>
          <w:rFonts w:eastAsia="Times New Roman"/>
        </w:rPr>
        <w:t>2022. gadā kval</w:t>
      </w:r>
      <w:r>
        <w:rPr>
          <w:rFonts w:eastAsia="Times New Roman"/>
        </w:rPr>
        <w:t>itātes izstrādāja jaunu izglītības iestāžu reģistrācijas kārtību (Ministru kabineta 2022. gada 2. novembra noteikumi Nr. 681 “Izglītības iestāžu reģistrācijas kārtība”) ar mērķi noteikt augstākiem tiesību aktiem atbilstošu tiesisko regulējumu izglītības ie</w:t>
      </w:r>
      <w:r>
        <w:rPr>
          <w:rFonts w:eastAsia="Times New Roman"/>
        </w:rPr>
        <w:t>stāžu reģistrācijai, attiecīgi nodrošinot Izglītības likumā un Profesionālās izglītības likumā noteikto prasību ievērošanu. 2022. gadā izdarīti grozījumi Izglītības likumā (t.sk. grozījumi Izglītības likuma 14. panta 8. punktā un Profesionālās izglītības l</w:t>
      </w:r>
      <w:r>
        <w:rPr>
          <w:rFonts w:eastAsia="Times New Roman"/>
        </w:rPr>
        <w:t>ikumā, atsakoties no citu Izglītības likumā noteikto institūciju, kuras īsteno izglītības programmas, reģistrācijas, ieviešot jaunas prasības profesionālās izglītības iestāžu statusam un nosaukumam, kā arī nosakot jaunas prasības / kritērijus profesionālās</w:t>
      </w:r>
      <w:r>
        <w:rPr>
          <w:rFonts w:eastAsia="Times New Roman"/>
        </w:rPr>
        <w:t xml:space="preserve"> izglītības iestāžu, tostarp koledžu, dibināšanai un paredzot Izglītības iestāžu reģistrā norādīt profesionālās izglītības iestādes statusu. Šīs izmaiņas tika atspoguļotas arī jaunajos izglītības iestāžu reģistrācijas noteikumos. Vienlaikus līdzšinējie nos</w:t>
      </w:r>
      <w:r>
        <w:rPr>
          <w:rFonts w:eastAsia="Times New Roman"/>
        </w:rPr>
        <w:t>acījumi un prasības izglītības iestāžu reģistrācijai pamatā nav mainīti, papildus paredzot arī atvieglotu un operatīvu Izglītības iestāžu reģistra datu sakārtošanu gadījumos, kad citos reģistros (piemēram, Uzņēmumu reģistra vestajos reģistros) ir ziņas, ka</w:t>
      </w:r>
      <w:r>
        <w:rPr>
          <w:rFonts w:eastAsia="Times New Roman"/>
        </w:rPr>
        <w:t xml:space="preserve"> izglītības iestādes dibinātājs ir likvidēts, proti, šādos gadījumos vairs netiek gatavots rakstveida lēmums par izglītības iestādes izslēgšanu no reģistra.</w:t>
      </w:r>
    </w:p>
    <w:p w14:paraId="68844A40" w14:textId="77777777" w:rsidR="00087872" w:rsidRDefault="00256B13">
      <w:pPr>
        <w:pStyle w:val="Pamatteksts"/>
      </w:pPr>
      <w:r>
        <w:rPr>
          <w:rFonts w:eastAsia="Times New Roman"/>
        </w:rPr>
        <w:t>Kopumā 2022. gadā reģistrētas 163 izglītības iestādes, t.sk. reorganizācijas vai tipa maiņas rezult</w:t>
      </w:r>
      <w:r>
        <w:rPr>
          <w:rFonts w:eastAsia="Times New Roman"/>
        </w:rPr>
        <w:t>ātā, kā arī izdarīti 458 grozījumi Izglītības iestāžu reģistrācijas datos, tostarp pieņemti 11 lēmumi par grozījumiem Augstskolu reģistra datos, kā arī pieņemti 2 lēmumi par atļaujas izsniegšanu starptautiskas izglītības programmas īstenošanai.</w:t>
      </w:r>
    </w:p>
    <w:p w14:paraId="36217448" w14:textId="77777777" w:rsidR="00087872" w:rsidRDefault="00256B13">
      <w:pPr>
        <w:pStyle w:val="Pamatteksts"/>
      </w:pPr>
      <w:r>
        <w:rPr>
          <w:rFonts w:eastAsia="Times New Roman"/>
        </w:rPr>
        <w:t xml:space="preserve">Veicot Izglītības iestāžu reģistra datu sakārtošanu, no reģistra svītrotas 458 izglītības iestādes un 1 augstskolas filiāle, kas ir 2,5 reizes vairāk nekā 2021. gadā. Operatīvu izglītības iestāžu svītrošanu nodrošināja gan VIIS jaunā funkcionalitāte (VIIS </w:t>
      </w:r>
      <w:r>
        <w:rPr>
          <w:rFonts w:eastAsia="Times New Roman"/>
        </w:rPr>
        <w:t>sasaiste ar Uzņēmumu reģistra datiem), iegūstot Uzņēmumu reģistra informāciju par likvidētajiem izglītības iestāžu dibinātājiem, izglītības iestāžu statusu atbilstības izvērtēšana un informācijas pieprasīšana par profesionālās izglītības iestāžu turpmāko d</w:t>
      </w:r>
      <w:r>
        <w:rPr>
          <w:rFonts w:eastAsia="Times New Roman"/>
        </w:rPr>
        <w:t>arbību, ja tām nebija licencētu un / vai akreditētu profesionālās izglītības programmu.</w:t>
      </w:r>
    </w:p>
    <w:p w14:paraId="3C76D1BD" w14:textId="77777777" w:rsidR="00087872" w:rsidRDefault="00256B13">
      <w:pPr>
        <w:pStyle w:val="Pamatteksts"/>
      </w:pPr>
      <w:r>
        <w:rPr>
          <w:rFonts w:eastAsia="Times New Roman"/>
        </w:rPr>
        <w:t>Arī 2022. gadā kvalitātes dienesta Licencēšanas un reģistru departamenta / Kvalitātes nodrošināšanas departamenta darbinieki veica ievērojamu darbu, ikdienā konsultējot</w:t>
      </w:r>
      <w:r>
        <w:rPr>
          <w:rFonts w:eastAsia="Times New Roman"/>
        </w:rPr>
        <w:t xml:space="preserve"> par izglītības iestādes reģistrāciju, izglītības iestādes nolikumu izstrādi un informācijas aktualizēšu VIIS, kā arī citos ar reģistrāciju saistītos jautājumos.</w:t>
      </w:r>
    </w:p>
    <w:p w14:paraId="3559027F" w14:textId="77777777" w:rsidR="00087872" w:rsidRDefault="00087872">
      <w:pPr>
        <w:rPr>
          <w:rFonts w:eastAsia="Times New Roman"/>
          <w:b/>
          <w:i/>
          <w:color w:val="500E8D"/>
        </w:rPr>
      </w:pPr>
    </w:p>
    <w:p w14:paraId="32C19CE0" w14:textId="77777777" w:rsidR="00087872" w:rsidRDefault="00256B13">
      <w:pPr>
        <w:rPr>
          <w:rFonts w:eastAsia="Times New Roman"/>
          <w:b/>
          <w:i/>
          <w:color w:val="500E8D"/>
        </w:rPr>
      </w:pPr>
      <w:bookmarkStart w:id="29" w:name="_Toc456011952"/>
      <w:bookmarkStart w:id="30" w:name="_Toc456012539"/>
      <w:r>
        <w:rPr>
          <w:rFonts w:eastAsia="Times New Roman"/>
          <w:b/>
          <w:i/>
          <w:color w:val="500E8D"/>
        </w:rPr>
        <w:t>Bērnu uzraudzības pakalpojuma sniedzēju reģistrācija</w:t>
      </w:r>
      <w:bookmarkEnd w:id="29"/>
      <w:bookmarkEnd w:id="30"/>
      <w:r>
        <w:rPr>
          <w:rFonts w:eastAsia="Times New Roman"/>
          <w:b/>
          <w:i/>
          <w:color w:val="500E8D"/>
        </w:rPr>
        <w:t xml:space="preserve"> </w:t>
      </w:r>
    </w:p>
    <w:p w14:paraId="48AC15F1" w14:textId="77777777" w:rsidR="00087872" w:rsidRDefault="00256B13">
      <w:pPr>
        <w:rPr>
          <w:color w:val="000000"/>
          <w:sz w:val="22"/>
          <w:szCs w:val="22"/>
          <w:shd w:val="clear" w:color="auto" w:fill="EEEEEE"/>
        </w:rPr>
      </w:pPr>
      <w:r>
        <w:rPr>
          <w:sz w:val="22"/>
          <w:szCs w:val="22"/>
        </w:rPr>
        <w:t>Pārskata periodā turpinājās aktīva pers</w:t>
      </w:r>
      <w:r>
        <w:rPr>
          <w:sz w:val="22"/>
          <w:szCs w:val="22"/>
        </w:rPr>
        <w:t xml:space="preserve">onu interese par reģistrāciju Bērnu uzraudzības pakalpojuma sniedzēju reģistrā. Tādēļ kvalitātes dienesta darbinieki aktīvi konsultēja interesentus pa tālruni un e-pastu, kā arī vairākkārt atbildēja uz plašsaziņas līdzekļu pārstāvju jautājumiem. Turpināta </w:t>
      </w:r>
      <w:r>
        <w:rPr>
          <w:sz w:val="22"/>
          <w:szCs w:val="22"/>
        </w:rPr>
        <w:t xml:space="preserve">sadarbība ar Valsts bērnu tiesību aizsardzības inspekciju, Veselības inspekciju un pašvaldībām, lai panāktu drošu un uzticamu uzraudzības pakalpojumu un primāri ievērotu bērnu intereses un vajadzības. </w:t>
      </w:r>
    </w:p>
    <w:p w14:paraId="0CD28CDB" w14:textId="77777777" w:rsidR="00087872" w:rsidRDefault="00256B13">
      <w:pPr>
        <w:rPr>
          <w:color w:val="000000"/>
          <w:sz w:val="22"/>
          <w:szCs w:val="22"/>
          <w:shd w:val="clear" w:color="auto" w:fill="EEEEEE"/>
        </w:rPr>
      </w:pPr>
      <w:r>
        <w:rPr>
          <w:sz w:val="22"/>
          <w:szCs w:val="22"/>
        </w:rPr>
        <w:t>2022. gadā reģistrēti 410 bērnu uzraudzības pakalpojum</w:t>
      </w:r>
      <w:r>
        <w:rPr>
          <w:sz w:val="22"/>
          <w:szCs w:val="22"/>
        </w:rPr>
        <w:t>a sniedzēji (skat. 4. tabulu), t.sk. 379 fiziskās personas un 31 juridiskā persona. No bērnu uzraudzības pakalpojuma sniedzēju reģistra izslēgtas 12 personas, t.sk. 3 juridiskās personas, 14 gadījumos reģistrācija atteikta.</w:t>
      </w:r>
    </w:p>
    <w:p w14:paraId="047259EC" w14:textId="77777777" w:rsidR="00087872" w:rsidRDefault="00256B13">
      <w:pPr>
        <w:contextualSpacing/>
        <w:jc w:val="right"/>
      </w:pPr>
      <w:r>
        <w:rPr>
          <w:rFonts w:eastAsia="Times New Roman"/>
          <w:i/>
          <w:sz w:val="22"/>
          <w:szCs w:val="22"/>
        </w:rPr>
        <w:t>4. tabula</w:t>
      </w:r>
    </w:p>
    <w:p w14:paraId="31F0543A" w14:textId="77777777" w:rsidR="00087872" w:rsidRDefault="00256B13">
      <w:pPr>
        <w:jc w:val="center"/>
      </w:pPr>
      <w:r>
        <w:rPr>
          <w:rFonts w:eastAsia="Times New Roman"/>
          <w:i/>
          <w:sz w:val="22"/>
          <w:szCs w:val="22"/>
        </w:rPr>
        <w:t>Bērnu uzraudzības paka</w:t>
      </w:r>
      <w:r>
        <w:rPr>
          <w:rFonts w:eastAsia="Times New Roman"/>
          <w:i/>
          <w:sz w:val="22"/>
          <w:szCs w:val="22"/>
        </w:rPr>
        <w:t>lpojuma sniedzēju reģistrācija 2022. gadā</w:t>
      </w:r>
    </w:p>
    <w:tbl>
      <w:tblPr>
        <w:tblStyle w:val="TableGrid17"/>
        <w:tblpPr w:leftFromText="180" w:rightFromText="180" w:vertAnchor="text" w:horzAnchor="margin" w:tblpXSpec="center" w:tblpY="137"/>
        <w:tblW w:w="9067" w:type="dxa"/>
        <w:jc w:val="center"/>
        <w:tblLayout w:type="fixed"/>
        <w:tblLook w:val="04A0" w:firstRow="1" w:lastRow="0" w:firstColumn="1" w:lastColumn="0" w:noHBand="0" w:noVBand="1"/>
      </w:tblPr>
      <w:tblGrid>
        <w:gridCol w:w="1304"/>
        <w:gridCol w:w="2804"/>
        <w:gridCol w:w="2833"/>
        <w:gridCol w:w="2126"/>
      </w:tblGrid>
      <w:tr w:rsidR="00087872" w14:paraId="6118CD36" w14:textId="77777777">
        <w:trPr>
          <w:trHeight w:val="617"/>
          <w:jc w:val="center"/>
        </w:trPr>
        <w:tc>
          <w:tcPr>
            <w:tcW w:w="1303" w:type="dxa"/>
          </w:tcPr>
          <w:p w14:paraId="6BDC1653" w14:textId="77777777" w:rsidR="00087872" w:rsidRDefault="00256B13">
            <w:pPr>
              <w:widowControl w:val="0"/>
              <w:spacing w:after="0" w:line="240" w:lineRule="auto"/>
              <w:jc w:val="center"/>
              <w:rPr>
                <w:sz w:val="22"/>
                <w:szCs w:val="22"/>
              </w:rPr>
            </w:pPr>
            <w:r>
              <w:rPr>
                <w:sz w:val="22"/>
                <w:szCs w:val="22"/>
              </w:rPr>
              <w:t>Izslēgti</w:t>
            </w:r>
          </w:p>
        </w:tc>
        <w:tc>
          <w:tcPr>
            <w:tcW w:w="2804" w:type="dxa"/>
          </w:tcPr>
          <w:p w14:paraId="75516583" w14:textId="77777777" w:rsidR="00087872" w:rsidRDefault="00256B13">
            <w:pPr>
              <w:widowControl w:val="0"/>
              <w:spacing w:after="0" w:line="240" w:lineRule="auto"/>
              <w:jc w:val="center"/>
              <w:rPr>
                <w:sz w:val="22"/>
                <w:szCs w:val="22"/>
              </w:rPr>
            </w:pPr>
            <w:r>
              <w:rPr>
                <w:sz w:val="22"/>
                <w:szCs w:val="22"/>
              </w:rPr>
              <w:t>Veikti grozījumi un papildinājumi bērnu uzraudzības pakalpojuma sniedzēju reģistrā</w:t>
            </w:r>
          </w:p>
        </w:tc>
        <w:tc>
          <w:tcPr>
            <w:tcW w:w="2833" w:type="dxa"/>
          </w:tcPr>
          <w:p w14:paraId="4EB03A11" w14:textId="77777777" w:rsidR="00087872" w:rsidRDefault="00256B13">
            <w:pPr>
              <w:widowControl w:val="0"/>
              <w:spacing w:after="0" w:line="240" w:lineRule="auto"/>
              <w:jc w:val="center"/>
              <w:rPr>
                <w:sz w:val="22"/>
                <w:szCs w:val="22"/>
              </w:rPr>
            </w:pPr>
            <w:r>
              <w:rPr>
                <w:sz w:val="22"/>
                <w:szCs w:val="22"/>
              </w:rPr>
              <w:t>Reģistrēti</w:t>
            </w:r>
          </w:p>
        </w:tc>
        <w:tc>
          <w:tcPr>
            <w:tcW w:w="2126" w:type="dxa"/>
          </w:tcPr>
          <w:p w14:paraId="59B0722B" w14:textId="77777777" w:rsidR="00087872" w:rsidRDefault="00256B13">
            <w:pPr>
              <w:widowControl w:val="0"/>
              <w:spacing w:after="0" w:line="240" w:lineRule="auto"/>
              <w:jc w:val="center"/>
              <w:rPr>
                <w:sz w:val="22"/>
                <w:szCs w:val="22"/>
              </w:rPr>
            </w:pPr>
            <w:r>
              <w:rPr>
                <w:sz w:val="22"/>
                <w:szCs w:val="22"/>
              </w:rPr>
              <w:t xml:space="preserve">Atteikums reģistrēt </w:t>
            </w:r>
          </w:p>
        </w:tc>
      </w:tr>
      <w:tr w:rsidR="00087872" w14:paraId="59537496" w14:textId="77777777">
        <w:trPr>
          <w:trHeight w:val="161"/>
          <w:jc w:val="center"/>
        </w:trPr>
        <w:tc>
          <w:tcPr>
            <w:tcW w:w="1303" w:type="dxa"/>
          </w:tcPr>
          <w:p w14:paraId="0F85788C" w14:textId="77777777" w:rsidR="00087872" w:rsidRDefault="00256B13">
            <w:pPr>
              <w:widowControl w:val="0"/>
              <w:spacing w:after="0" w:line="240" w:lineRule="auto"/>
              <w:jc w:val="center"/>
              <w:rPr>
                <w:sz w:val="22"/>
                <w:szCs w:val="22"/>
              </w:rPr>
            </w:pPr>
            <w:r>
              <w:rPr>
                <w:sz w:val="22"/>
                <w:szCs w:val="22"/>
              </w:rPr>
              <w:t>12</w:t>
            </w:r>
          </w:p>
        </w:tc>
        <w:tc>
          <w:tcPr>
            <w:tcW w:w="2804" w:type="dxa"/>
          </w:tcPr>
          <w:p w14:paraId="0E6E43DE" w14:textId="77777777" w:rsidR="00087872" w:rsidRDefault="00256B13">
            <w:pPr>
              <w:widowControl w:val="0"/>
              <w:spacing w:after="0" w:line="240" w:lineRule="auto"/>
              <w:jc w:val="center"/>
              <w:rPr>
                <w:sz w:val="22"/>
                <w:szCs w:val="22"/>
              </w:rPr>
            </w:pPr>
            <w:r>
              <w:rPr>
                <w:sz w:val="22"/>
                <w:szCs w:val="22"/>
              </w:rPr>
              <w:t>163</w:t>
            </w:r>
          </w:p>
        </w:tc>
        <w:tc>
          <w:tcPr>
            <w:tcW w:w="2833" w:type="dxa"/>
          </w:tcPr>
          <w:p w14:paraId="372E472F" w14:textId="77777777" w:rsidR="00087872" w:rsidRDefault="00256B13">
            <w:pPr>
              <w:widowControl w:val="0"/>
              <w:spacing w:after="0" w:line="240" w:lineRule="auto"/>
              <w:jc w:val="center"/>
              <w:rPr>
                <w:sz w:val="22"/>
                <w:szCs w:val="22"/>
              </w:rPr>
            </w:pPr>
            <w:r>
              <w:rPr>
                <w:sz w:val="22"/>
                <w:szCs w:val="22"/>
              </w:rPr>
              <w:t>410</w:t>
            </w:r>
          </w:p>
        </w:tc>
        <w:tc>
          <w:tcPr>
            <w:tcW w:w="2126" w:type="dxa"/>
          </w:tcPr>
          <w:p w14:paraId="056D9E02" w14:textId="77777777" w:rsidR="00087872" w:rsidRDefault="00256B13">
            <w:pPr>
              <w:widowControl w:val="0"/>
              <w:spacing w:after="0" w:line="240" w:lineRule="auto"/>
              <w:jc w:val="center"/>
              <w:rPr>
                <w:sz w:val="22"/>
                <w:szCs w:val="22"/>
              </w:rPr>
            </w:pPr>
            <w:r>
              <w:rPr>
                <w:sz w:val="22"/>
                <w:szCs w:val="22"/>
              </w:rPr>
              <w:t>14</w:t>
            </w:r>
          </w:p>
        </w:tc>
      </w:tr>
    </w:tbl>
    <w:p w14:paraId="71AC91BB" w14:textId="77777777" w:rsidR="00087872" w:rsidRDefault="00087872">
      <w:pPr>
        <w:rPr>
          <w:rFonts w:eastAsia="Times New Roman"/>
          <w:sz w:val="22"/>
          <w:szCs w:val="22"/>
        </w:rPr>
      </w:pPr>
    </w:p>
    <w:p w14:paraId="045F9AB7" w14:textId="77777777" w:rsidR="00087872" w:rsidRDefault="00087872">
      <w:pPr>
        <w:rPr>
          <w:rFonts w:eastAsia="Times New Roman"/>
          <w:sz w:val="22"/>
          <w:szCs w:val="22"/>
        </w:rPr>
      </w:pPr>
    </w:p>
    <w:p w14:paraId="62BF019F" w14:textId="77777777" w:rsidR="00087872" w:rsidRDefault="00256B13">
      <w:r>
        <w:rPr>
          <w:rFonts w:eastAsia="Times New Roman"/>
          <w:b/>
          <w:i/>
          <w:color w:val="500E8D"/>
        </w:rPr>
        <w:t>Psihologu reģistrācija un sertifikācija</w:t>
      </w:r>
    </w:p>
    <w:p w14:paraId="54AE11DE" w14:textId="77777777" w:rsidR="00087872" w:rsidRDefault="00256B13">
      <w:r>
        <w:rPr>
          <w:sz w:val="22"/>
          <w:szCs w:val="22"/>
        </w:rPr>
        <w:t>Saskaņā ar Psihologu likumu, Ministru kabineta 2018. gada 29. maija noteikumiem Nr. 301 “Psihologu noteikumi” un Ministru kabineta 2018. gada 29. maija noteikumiem Nr. 302 “Psihologu sertifikācijas padomes nolikums” kvalitātes dienests 2022. gadā turpināja</w:t>
      </w:r>
      <w:r>
        <w:rPr>
          <w:sz w:val="22"/>
          <w:szCs w:val="22"/>
        </w:rPr>
        <w:t xml:space="preserve"> pildīt Psihologu sertifikācijas padomes sekretariāta funkcijas. Reizi mēnesī notikušas Psihologu sertifikācijas padomes sēdes. </w:t>
      </w:r>
    </w:p>
    <w:p w14:paraId="34F05B13" w14:textId="77777777" w:rsidR="00087872" w:rsidRDefault="00256B13">
      <w:r>
        <w:rPr>
          <w:sz w:val="22"/>
          <w:szCs w:val="22"/>
        </w:rPr>
        <w:t>Psihologu sertifikācijas komisijas sēdes klātienē notika jūnijā (pārējā laikā – attālināti). Šajā periodā, kārtojot psihologa s</w:t>
      </w:r>
      <w:r>
        <w:rPr>
          <w:sz w:val="22"/>
          <w:szCs w:val="22"/>
        </w:rPr>
        <w:t>ertifikācijas pārbaudījumu, psihologa sertifikātu ieguvušas 27 personas, 8 psihologi ieguvuši psihologa-pārrauga tiesības. Sertifikācijas pārbaudījumi ir notikuši gan attālināti, gan klātienē. 2022. gadā saņemti 102 reģistrācijas iesniegumi un reģistrēts 9</w:t>
      </w:r>
      <w:r>
        <w:rPr>
          <w:sz w:val="22"/>
          <w:szCs w:val="22"/>
        </w:rPr>
        <w:t>1 psihologs.</w:t>
      </w:r>
    </w:p>
    <w:p w14:paraId="03E2B130" w14:textId="77777777" w:rsidR="00087872" w:rsidRDefault="00256B13">
      <w:r>
        <w:rPr>
          <w:sz w:val="22"/>
          <w:szCs w:val="22"/>
        </w:rPr>
        <w:t>2022. gada beigās Psihologu reģistrā ir aktīvas 1223 personas, tostarp 392 psihologi-pārraugi.</w:t>
      </w:r>
    </w:p>
    <w:p w14:paraId="2AB42447" w14:textId="77777777" w:rsidR="00087872" w:rsidRDefault="00256B13">
      <w:r>
        <w:rPr>
          <w:sz w:val="22"/>
          <w:szCs w:val="22"/>
        </w:rPr>
        <w:t>Ievērojot Ministru kabineta 2017. gada 19. septembra noteikumu Nr. 566 “Noteikumi par informācijas institūcijām un institūcijām, kas izsniedz ārvals</w:t>
      </w:r>
      <w:r>
        <w:rPr>
          <w:sz w:val="22"/>
          <w:szCs w:val="22"/>
        </w:rPr>
        <w:t>tīs iegūtās profesionālās kvalifikācijas atzīšanas apliecības reglamentētajās profesijās” 2. pielikuma 34. punktā noteikto pilnvarojumu, atbilstoši Ministru kabineta 2016. gada 20. decembra noteikumiem Nr. 827 “Kārtība, kādā atzīst profesionālo kvalifikāci</w:t>
      </w:r>
      <w:r>
        <w:rPr>
          <w:sz w:val="22"/>
          <w:szCs w:val="22"/>
        </w:rPr>
        <w:t>ju pastāvīgai profesionālajai darbība Latvijas Republikā” 2022. gadā ir veikta psihologa profesionālās kvalifikācijas atzīšana 7 personām, 4 no tām ieguvušas profesionālās kvalifikācijas atzīšanas apliecību, 3 personas saņēmušas lēmumu par kvalifikācijas a</w:t>
      </w:r>
      <w:r>
        <w:rPr>
          <w:sz w:val="22"/>
          <w:szCs w:val="22"/>
        </w:rPr>
        <w:t>tzīšanas atteikumu.</w:t>
      </w:r>
    </w:p>
    <w:p w14:paraId="5BE08737" w14:textId="77777777" w:rsidR="00087872" w:rsidRDefault="00087872">
      <w:pPr>
        <w:rPr>
          <w:rFonts w:eastAsia="Times New Roman"/>
          <w:b/>
          <w:i/>
          <w:color w:val="500E8D"/>
          <w:lang w:eastAsia="lv-LV"/>
        </w:rPr>
      </w:pPr>
    </w:p>
    <w:p w14:paraId="4FB03780" w14:textId="77777777" w:rsidR="00087872" w:rsidRDefault="00256B13">
      <w:r>
        <w:rPr>
          <w:rFonts w:eastAsia="Times New Roman"/>
          <w:b/>
          <w:i/>
          <w:color w:val="500E8D"/>
          <w:lang w:eastAsia="lv-LV"/>
        </w:rPr>
        <w:t>Pedagoga privātprakses sertificēšana</w:t>
      </w:r>
    </w:p>
    <w:p w14:paraId="364E0045" w14:textId="77777777" w:rsidR="00087872" w:rsidRDefault="00256B13">
      <w:r>
        <w:rPr>
          <w:sz w:val="22"/>
          <w:szCs w:val="22"/>
        </w:rPr>
        <w:t>Pārskata periodā izsniegti 365 pedagogu privātprakses uzsākšanas sertifikāti (kopskaitā 283 pedagogiem) 235 interešu un 30 pieaugušo neformālās izglītības programmu īstenošanai: t.sk. 274 pedagoga p</w:t>
      </w:r>
      <w:r>
        <w:rPr>
          <w:sz w:val="22"/>
          <w:szCs w:val="22"/>
        </w:rPr>
        <w:t>rivātprakses uzsākšanas sertifikāti izsniegti no jauna, 91 sertifikāta darbības laiks pagarināts. 2 pedagogiem privātprakses sertifikāti sākotnēji tika atteikti, jo pedagogi nevarēja uzrādīt Covid-19 vakcinācijas sertifikātu. Tomēr līdz ar Covid-19 pandēmi</w:t>
      </w:r>
      <w:r>
        <w:rPr>
          <w:sz w:val="22"/>
          <w:szCs w:val="22"/>
        </w:rPr>
        <w:t>jas samazināšanos un normatīvo aktu prasību izmaiņām minētajiem pedagogiem pedagoga privātprakses uzsākšanas sertifikāti interešu izglītības programmu īstenošanai tika izsniegti.</w:t>
      </w:r>
    </w:p>
    <w:p w14:paraId="696D1794" w14:textId="77777777" w:rsidR="00087872" w:rsidRDefault="00087872">
      <w:pPr>
        <w:rPr>
          <w:bCs/>
          <w:sz w:val="22"/>
          <w:szCs w:val="22"/>
        </w:rPr>
      </w:pPr>
    </w:p>
    <w:p w14:paraId="192E71AB" w14:textId="77777777" w:rsidR="00087872" w:rsidRDefault="00256B13">
      <w:pPr>
        <w:pStyle w:val="virsraksts60"/>
      </w:pPr>
      <w:bookmarkStart w:id="31" w:name="_Toc456011950"/>
      <w:bookmarkStart w:id="32" w:name="_Toc456012537"/>
      <w:r>
        <w:rPr>
          <w:sz w:val="24"/>
        </w:rPr>
        <w:t>Obligātā izglītības vecuma bērnu uzskaite</w:t>
      </w:r>
      <w:bookmarkEnd w:id="31"/>
      <w:bookmarkEnd w:id="32"/>
    </w:p>
    <w:p w14:paraId="25CB6BFD" w14:textId="77777777" w:rsidR="00087872" w:rsidRDefault="00256B13">
      <w:pPr>
        <w:pStyle w:val="Pamatteksts"/>
      </w:pPr>
      <w:r>
        <w:rPr>
          <w:rFonts w:eastAsia="Times New Roman"/>
        </w:rPr>
        <w:t xml:space="preserve">Tāpat kā katru gadu, arī 2022. gadā kvalitātes dienests apkopoja un analizēja pašvaldību ievadīto informāciju VIIS par izglītības iestādēs nereģistrētiem obligātā izglītības vecuma bērniem. </w:t>
      </w:r>
    </w:p>
    <w:p w14:paraId="07FA8B9A" w14:textId="77777777" w:rsidR="00087872" w:rsidRDefault="00256B13">
      <w:pPr>
        <w:pStyle w:val="Pamatteksts"/>
      </w:pPr>
      <w:r>
        <w:rPr>
          <w:rFonts w:eastAsia="Times New Roman"/>
        </w:rPr>
        <w:t>Kvalitātes dienests secinājis, ka datu analīzi apgrūtina gan izgl</w:t>
      </w:r>
      <w:r>
        <w:rPr>
          <w:rFonts w:eastAsia="Times New Roman"/>
        </w:rPr>
        <w:t xml:space="preserve">ītības iestāžu un pašvaldību dažādā izpratne par VIIS ievadāmajiem piederības izbeigšanas statusiem un </w:t>
      </w:r>
      <w:proofErr w:type="spellStart"/>
      <w:r>
        <w:rPr>
          <w:rFonts w:eastAsia="Times New Roman"/>
        </w:rPr>
        <w:t>apakšstatusiem</w:t>
      </w:r>
      <w:proofErr w:type="spellEnd"/>
      <w:r>
        <w:rPr>
          <w:rFonts w:eastAsia="Times New Roman"/>
        </w:rPr>
        <w:t>, gan par bērnu meklēšanas statusiem, informāciju un komentāriem, kas jāievada pašvaldībām. Tāpat datu analīzi apgrūtina tas, ka ģimenes iz</w:t>
      </w:r>
      <w:r>
        <w:rPr>
          <w:rFonts w:eastAsia="Times New Roman"/>
        </w:rPr>
        <w:t xml:space="preserve">brauc no valsts, neinformējot par to izglītības iestādi, valsts iestādes, kaimiņus vai pašvaldību. Līdz ar to daudzos gadījumos pašvaldība sniegusi informāciju, ka ģimene adresē nedzīvo, bet par bērna atrašanās vietu neviens informāciju nevar sniegt. </w:t>
      </w:r>
    </w:p>
    <w:p w14:paraId="31CA3962" w14:textId="77777777" w:rsidR="00087872" w:rsidRDefault="00256B13">
      <w:pPr>
        <w:pStyle w:val="Pamatteksts"/>
      </w:pPr>
      <w:r>
        <w:rPr>
          <w:rFonts w:eastAsia="Times New Roman"/>
        </w:rPr>
        <w:t>Veic</w:t>
      </w:r>
      <w:r>
        <w:rPr>
          <w:rFonts w:eastAsia="Times New Roman"/>
        </w:rPr>
        <w:t>ot izpēti, kvalitātes dienests arī secinājis, ka saistībā ar administratīvi teritoriālo reformu vairākas pašvaldības līdz 2022. gada beigām vēl nebija noteikušas atbildīgo personu par obligātā izglītības vecuma bērnu uzskaiti reformētajā pašvaldībā, kā arī</w:t>
      </w:r>
      <w:r>
        <w:rPr>
          <w:rFonts w:eastAsia="Times New Roman"/>
        </w:rPr>
        <w:t xml:space="preserve"> līdz galam nav izpratušas pienākumu pēc administratīvi teritoriālās reformas veikt obligātā izglītības vecuma bērnu uzskaiti jaunajā pašvaldības teritorijā. </w:t>
      </w:r>
    </w:p>
    <w:p w14:paraId="36084569" w14:textId="77777777" w:rsidR="00087872" w:rsidRDefault="00256B13">
      <w:pPr>
        <w:pStyle w:val="Pamatteksts"/>
      </w:pPr>
      <w:r>
        <w:rPr>
          <w:rFonts w:eastAsia="Times New Roman"/>
        </w:rPr>
        <w:t>Tādējādi līdz 2022. gada 31. decembrim VIIS ievadīta informācija par 1881 Latvijā deklarētiem 5–1</w:t>
      </w:r>
      <w:r>
        <w:rPr>
          <w:rFonts w:eastAsia="Times New Roman"/>
        </w:rPr>
        <w:t>8 gadus veciem bērniem, kuri dažādu iemeslu dēļ nav reģistrēti Latvijas izglītības iestādēs (skat. 5. tabulu), savukārt vēl 14 289 Latvijā deklarēti bērni dzīvo un mācās ārvalstīs, tostarp 13 bērni – adoptēti uz ārzemēm, 2385 – ir citas valsts pilsoņi ar u</w:t>
      </w:r>
      <w:r>
        <w:rPr>
          <w:rFonts w:eastAsia="Times New Roman"/>
        </w:rPr>
        <w:t xml:space="preserve">zturēšanās atļaujām Latvijā, kas pamatā dzīvo un mācās savas pilsonības valstī, 692 – bērniem Latvijā piešķirts bēgļa, pagaidu aizsardzības vai alternatīvais statuss, 11212 – bērni, kuru ģimenes dažādos laika periodos izbraukušas no valsts. </w:t>
      </w:r>
    </w:p>
    <w:p w14:paraId="765B9AB1" w14:textId="77777777" w:rsidR="00087872" w:rsidRDefault="00087872">
      <w:pPr>
        <w:pStyle w:val="Pamatteksts"/>
        <w:rPr>
          <w:rFonts w:eastAsia="Times New Roman"/>
        </w:rPr>
      </w:pPr>
    </w:p>
    <w:p w14:paraId="334A786E" w14:textId="77777777" w:rsidR="00087872" w:rsidRDefault="00256B13">
      <w:pPr>
        <w:spacing w:line="240" w:lineRule="auto"/>
        <w:jc w:val="right"/>
      </w:pPr>
      <w:r>
        <w:rPr>
          <w:rFonts w:eastAsia="Times New Roman"/>
          <w:i/>
          <w:sz w:val="22"/>
          <w:szCs w:val="22"/>
        </w:rPr>
        <w:t>5. tabula</w:t>
      </w:r>
    </w:p>
    <w:p w14:paraId="4AFADED0" w14:textId="77777777" w:rsidR="00087872" w:rsidRDefault="00256B13">
      <w:pPr>
        <w:spacing w:after="0" w:line="240" w:lineRule="auto"/>
        <w:jc w:val="center"/>
      </w:pPr>
      <w:r>
        <w:rPr>
          <w:rFonts w:eastAsia="Times New Roman"/>
          <w:i/>
          <w:sz w:val="22"/>
          <w:szCs w:val="22"/>
        </w:rPr>
        <w:t xml:space="preserve">2022./2023. mācību gadā Latvijas izglītības iestādēs nereģistrēti </w:t>
      </w:r>
    </w:p>
    <w:p w14:paraId="1542BD03" w14:textId="77777777" w:rsidR="00087872" w:rsidRDefault="00256B13">
      <w:pPr>
        <w:spacing w:line="240" w:lineRule="auto"/>
        <w:jc w:val="center"/>
      </w:pPr>
      <w:r>
        <w:rPr>
          <w:rFonts w:eastAsia="Times New Roman"/>
          <w:i/>
          <w:sz w:val="22"/>
          <w:szCs w:val="22"/>
        </w:rPr>
        <w:t>obligātā izglītības vecuma (5–18 gadi) bērni</w:t>
      </w:r>
    </w:p>
    <w:tbl>
      <w:tblPr>
        <w:tblW w:w="9213" w:type="dxa"/>
        <w:jc w:val="center"/>
        <w:tblLayout w:type="fixed"/>
        <w:tblLook w:val="04A0" w:firstRow="1" w:lastRow="0" w:firstColumn="1" w:lastColumn="0" w:noHBand="0" w:noVBand="1"/>
      </w:tblPr>
      <w:tblGrid>
        <w:gridCol w:w="7809"/>
        <w:gridCol w:w="1404"/>
      </w:tblGrid>
      <w:tr w:rsidR="00087872" w14:paraId="7755AC42"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3C59E1B3" w14:textId="77777777" w:rsidR="00087872" w:rsidRDefault="00256B13">
            <w:pPr>
              <w:widowControl w:val="0"/>
              <w:spacing w:after="0"/>
              <w:rPr>
                <w:sz w:val="22"/>
                <w:szCs w:val="22"/>
              </w:rPr>
            </w:pPr>
            <w:r>
              <w:rPr>
                <w:b/>
                <w:sz w:val="22"/>
                <w:szCs w:val="22"/>
              </w:rPr>
              <w:t>Statuss (pašvaldību sniegtā informācija)</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5F34600D" w14:textId="77777777" w:rsidR="00087872" w:rsidRDefault="00256B13">
            <w:pPr>
              <w:widowControl w:val="0"/>
              <w:spacing w:after="0"/>
              <w:jc w:val="center"/>
              <w:rPr>
                <w:sz w:val="22"/>
                <w:szCs w:val="22"/>
              </w:rPr>
            </w:pPr>
            <w:r>
              <w:rPr>
                <w:b/>
                <w:sz w:val="22"/>
                <w:szCs w:val="22"/>
              </w:rPr>
              <w:t>Skaits</w:t>
            </w:r>
          </w:p>
        </w:tc>
      </w:tr>
      <w:tr w:rsidR="00087872" w14:paraId="072E9959"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2CBE6281" w14:textId="77777777" w:rsidR="00087872" w:rsidRDefault="00256B13">
            <w:pPr>
              <w:widowControl w:val="0"/>
              <w:spacing w:after="0"/>
              <w:rPr>
                <w:sz w:val="22"/>
                <w:szCs w:val="22"/>
              </w:rPr>
            </w:pPr>
            <w:r>
              <w:rPr>
                <w:sz w:val="22"/>
                <w:szCs w:val="22"/>
              </w:rPr>
              <w:t xml:space="preserve">Nav mācību sasniegumu vērtējuma vai tas ir nepietiekams (izglītojamie atskaitīti no tālmācības </w:t>
            </w:r>
            <w:r>
              <w:rPr>
                <w:sz w:val="22"/>
                <w:szCs w:val="22"/>
              </w:rPr>
              <w:t>vai neklātienes programmas)</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1ED5B287" w14:textId="77777777" w:rsidR="00087872" w:rsidRDefault="00256B13">
            <w:pPr>
              <w:widowControl w:val="0"/>
              <w:spacing w:after="0"/>
              <w:jc w:val="center"/>
              <w:rPr>
                <w:sz w:val="22"/>
                <w:szCs w:val="22"/>
              </w:rPr>
            </w:pPr>
            <w:r>
              <w:rPr>
                <w:sz w:val="22"/>
                <w:szCs w:val="22"/>
              </w:rPr>
              <w:t>10</w:t>
            </w:r>
          </w:p>
        </w:tc>
      </w:tr>
      <w:tr w:rsidR="00087872" w14:paraId="7724906D"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21BD9691" w14:textId="77777777" w:rsidR="00087872" w:rsidRDefault="00256B13">
            <w:pPr>
              <w:widowControl w:val="0"/>
              <w:spacing w:after="0"/>
              <w:rPr>
                <w:sz w:val="22"/>
                <w:szCs w:val="22"/>
              </w:rPr>
            </w:pPr>
            <w:r>
              <w:rPr>
                <w:sz w:val="22"/>
                <w:szCs w:val="22"/>
              </w:rPr>
              <w:t>Atskaitīti no pirmsskolas par izglītības iestādes neapmeklēšanu</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01460B1A" w14:textId="77777777" w:rsidR="00087872" w:rsidRDefault="00256B13">
            <w:pPr>
              <w:widowControl w:val="0"/>
              <w:spacing w:after="0"/>
              <w:jc w:val="center"/>
              <w:rPr>
                <w:sz w:val="22"/>
                <w:szCs w:val="22"/>
              </w:rPr>
            </w:pPr>
            <w:r>
              <w:rPr>
                <w:sz w:val="22"/>
                <w:szCs w:val="22"/>
              </w:rPr>
              <w:t>32</w:t>
            </w:r>
          </w:p>
        </w:tc>
      </w:tr>
      <w:tr w:rsidR="00087872" w14:paraId="4003EB04"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50C59757" w14:textId="77777777" w:rsidR="00087872" w:rsidRDefault="00256B13">
            <w:pPr>
              <w:widowControl w:val="0"/>
              <w:spacing w:after="0"/>
              <w:rPr>
                <w:sz w:val="22"/>
                <w:szCs w:val="22"/>
              </w:rPr>
            </w:pPr>
            <w:r>
              <w:rPr>
                <w:sz w:val="22"/>
                <w:szCs w:val="22"/>
              </w:rPr>
              <w:t>Bezvēsts prombūtnē</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474BBFA5" w14:textId="77777777" w:rsidR="00087872" w:rsidRDefault="00256B13">
            <w:pPr>
              <w:widowControl w:val="0"/>
              <w:spacing w:after="0"/>
              <w:jc w:val="center"/>
              <w:rPr>
                <w:sz w:val="22"/>
                <w:szCs w:val="22"/>
              </w:rPr>
            </w:pPr>
            <w:r>
              <w:rPr>
                <w:sz w:val="22"/>
                <w:szCs w:val="22"/>
              </w:rPr>
              <w:t>1</w:t>
            </w:r>
          </w:p>
        </w:tc>
      </w:tr>
      <w:tr w:rsidR="00087872" w14:paraId="70181DAB"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715BDCA1" w14:textId="77777777" w:rsidR="00087872" w:rsidRDefault="00256B13">
            <w:pPr>
              <w:widowControl w:val="0"/>
              <w:spacing w:after="0"/>
              <w:rPr>
                <w:sz w:val="22"/>
                <w:szCs w:val="22"/>
              </w:rPr>
            </w:pPr>
            <w:r>
              <w:rPr>
                <w:sz w:val="22"/>
                <w:szCs w:val="22"/>
              </w:rPr>
              <w:t xml:space="preserve">Iebraucis no citas valsts </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6C2C0712" w14:textId="77777777" w:rsidR="00087872" w:rsidRDefault="00256B13">
            <w:pPr>
              <w:widowControl w:val="0"/>
              <w:spacing w:after="0"/>
              <w:jc w:val="center"/>
              <w:rPr>
                <w:sz w:val="22"/>
                <w:szCs w:val="22"/>
              </w:rPr>
            </w:pPr>
            <w:r>
              <w:rPr>
                <w:sz w:val="22"/>
                <w:szCs w:val="22"/>
              </w:rPr>
              <w:t>7</w:t>
            </w:r>
          </w:p>
        </w:tc>
      </w:tr>
      <w:tr w:rsidR="00087872" w14:paraId="2D30134A"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68372B1F" w14:textId="77777777" w:rsidR="00087872" w:rsidRDefault="00256B13">
            <w:pPr>
              <w:widowControl w:val="0"/>
              <w:spacing w:after="0"/>
              <w:rPr>
                <w:sz w:val="22"/>
                <w:szCs w:val="22"/>
              </w:rPr>
            </w:pPr>
            <w:r>
              <w:rPr>
                <w:sz w:val="22"/>
                <w:szCs w:val="22"/>
              </w:rPr>
              <w:t>Ilgstoši slimojošs</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277E23CC" w14:textId="77777777" w:rsidR="00087872" w:rsidRDefault="00256B13">
            <w:pPr>
              <w:widowControl w:val="0"/>
              <w:spacing w:after="0"/>
              <w:jc w:val="center"/>
              <w:rPr>
                <w:sz w:val="22"/>
                <w:szCs w:val="22"/>
              </w:rPr>
            </w:pPr>
            <w:r>
              <w:rPr>
                <w:sz w:val="22"/>
                <w:szCs w:val="22"/>
              </w:rPr>
              <w:t>8</w:t>
            </w:r>
          </w:p>
        </w:tc>
      </w:tr>
      <w:tr w:rsidR="00087872" w14:paraId="546747F8"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2860D0FB" w14:textId="77777777" w:rsidR="00087872" w:rsidRDefault="00256B13">
            <w:pPr>
              <w:widowControl w:val="0"/>
              <w:spacing w:after="0"/>
              <w:rPr>
                <w:sz w:val="22"/>
                <w:szCs w:val="22"/>
              </w:rPr>
            </w:pPr>
            <w:r>
              <w:rPr>
                <w:sz w:val="22"/>
                <w:szCs w:val="22"/>
              </w:rPr>
              <w:t>Invalīds</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253DF185" w14:textId="77777777" w:rsidR="00087872" w:rsidRDefault="00256B13">
            <w:pPr>
              <w:widowControl w:val="0"/>
              <w:spacing w:after="0"/>
              <w:jc w:val="center"/>
              <w:rPr>
                <w:sz w:val="22"/>
                <w:szCs w:val="22"/>
              </w:rPr>
            </w:pPr>
            <w:r>
              <w:rPr>
                <w:sz w:val="22"/>
                <w:szCs w:val="22"/>
              </w:rPr>
              <w:t>11</w:t>
            </w:r>
          </w:p>
        </w:tc>
      </w:tr>
      <w:tr w:rsidR="00087872" w14:paraId="023A01B3"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1940C7F8" w14:textId="77777777" w:rsidR="00087872" w:rsidRDefault="00256B13">
            <w:pPr>
              <w:widowControl w:val="0"/>
              <w:spacing w:after="0"/>
              <w:rPr>
                <w:sz w:val="22"/>
                <w:szCs w:val="22"/>
              </w:rPr>
            </w:pPr>
            <w:r>
              <w:rPr>
                <w:sz w:val="22"/>
                <w:szCs w:val="22"/>
              </w:rPr>
              <w:t xml:space="preserve">Apmeklē interešu izglītības vai profesionālās ievirzes izglītības iestādi </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65442485" w14:textId="77777777" w:rsidR="00087872" w:rsidRDefault="00256B13">
            <w:pPr>
              <w:widowControl w:val="0"/>
              <w:spacing w:after="0"/>
              <w:jc w:val="center"/>
              <w:rPr>
                <w:sz w:val="22"/>
                <w:szCs w:val="22"/>
              </w:rPr>
            </w:pPr>
            <w:r>
              <w:rPr>
                <w:sz w:val="22"/>
                <w:szCs w:val="22"/>
              </w:rPr>
              <w:t>4</w:t>
            </w:r>
          </w:p>
        </w:tc>
      </w:tr>
      <w:tr w:rsidR="00087872" w14:paraId="5E9ED4F6"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065FDB6A" w14:textId="77777777" w:rsidR="00087872" w:rsidRDefault="00256B13">
            <w:pPr>
              <w:widowControl w:val="0"/>
              <w:spacing w:after="0"/>
              <w:rPr>
                <w:sz w:val="22"/>
                <w:szCs w:val="22"/>
              </w:rPr>
            </w:pPr>
            <w:r>
              <w:rPr>
                <w:sz w:val="22"/>
                <w:szCs w:val="22"/>
              </w:rPr>
              <w:t>Pirmsskolas izglītības apguve ģimenē</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26712B82" w14:textId="77777777" w:rsidR="00087872" w:rsidRDefault="00256B13">
            <w:pPr>
              <w:widowControl w:val="0"/>
              <w:spacing w:after="0"/>
              <w:jc w:val="center"/>
              <w:rPr>
                <w:sz w:val="22"/>
                <w:szCs w:val="22"/>
              </w:rPr>
            </w:pPr>
            <w:r>
              <w:rPr>
                <w:sz w:val="22"/>
                <w:szCs w:val="22"/>
              </w:rPr>
              <w:t>15</w:t>
            </w:r>
          </w:p>
        </w:tc>
      </w:tr>
      <w:tr w:rsidR="00087872" w14:paraId="38A0170F"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0E5CBB8C" w14:textId="77777777" w:rsidR="00087872" w:rsidRDefault="00256B13">
            <w:pPr>
              <w:widowControl w:val="0"/>
              <w:spacing w:after="0"/>
              <w:rPr>
                <w:sz w:val="22"/>
                <w:szCs w:val="22"/>
              </w:rPr>
            </w:pPr>
            <w:r>
              <w:rPr>
                <w:sz w:val="22"/>
                <w:szCs w:val="22"/>
              </w:rPr>
              <w:t xml:space="preserve">Izglītības iestādes likvidācija / reorganizācija </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1693A14F" w14:textId="77777777" w:rsidR="00087872" w:rsidRDefault="00256B13">
            <w:pPr>
              <w:widowControl w:val="0"/>
              <w:spacing w:after="0"/>
              <w:jc w:val="center"/>
              <w:rPr>
                <w:sz w:val="22"/>
                <w:szCs w:val="22"/>
              </w:rPr>
            </w:pPr>
            <w:r>
              <w:rPr>
                <w:sz w:val="22"/>
                <w:szCs w:val="22"/>
              </w:rPr>
              <w:t>21</w:t>
            </w:r>
          </w:p>
        </w:tc>
      </w:tr>
      <w:tr w:rsidR="00087872" w14:paraId="3831F28B"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70A17F9A" w14:textId="77777777" w:rsidR="00087872" w:rsidRDefault="00256B13">
            <w:pPr>
              <w:widowControl w:val="0"/>
              <w:spacing w:after="0"/>
              <w:rPr>
                <w:sz w:val="22"/>
                <w:szCs w:val="22"/>
              </w:rPr>
            </w:pPr>
            <w:r>
              <w:rPr>
                <w:sz w:val="22"/>
                <w:szCs w:val="22"/>
              </w:rPr>
              <w:t xml:space="preserve">Sāks mācības pamatizglītības posmā nākamajā mācību gadā </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7EA91906" w14:textId="77777777" w:rsidR="00087872" w:rsidRDefault="00256B13">
            <w:pPr>
              <w:widowControl w:val="0"/>
              <w:spacing w:after="0"/>
              <w:jc w:val="center"/>
              <w:rPr>
                <w:sz w:val="22"/>
                <w:szCs w:val="22"/>
              </w:rPr>
            </w:pPr>
            <w:r>
              <w:rPr>
                <w:sz w:val="22"/>
                <w:szCs w:val="22"/>
              </w:rPr>
              <w:t>20</w:t>
            </w:r>
          </w:p>
        </w:tc>
      </w:tr>
      <w:tr w:rsidR="00087872" w14:paraId="2E6B267B" w14:textId="77777777">
        <w:trPr>
          <w:trHeight w:val="234"/>
          <w:jc w:val="center"/>
        </w:trPr>
        <w:tc>
          <w:tcPr>
            <w:tcW w:w="7808" w:type="dxa"/>
            <w:tcBorders>
              <w:top w:val="single" w:sz="4" w:space="0" w:color="000000"/>
              <w:left w:val="single" w:sz="8" w:space="0" w:color="000000"/>
              <w:bottom w:val="single" w:sz="4" w:space="0" w:color="000000"/>
              <w:right w:val="single" w:sz="4" w:space="0" w:color="000000"/>
            </w:tcBorders>
            <w:shd w:val="clear" w:color="auto" w:fill="auto"/>
          </w:tcPr>
          <w:p w14:paraId="6F327F9B" w14:textId="77777777" w:rsidR="00087872" w:rsidRDefault="00256B13">
            <w:pPr>
              <w:widowControl w:val="0"/>
              <w:spacing w:after="0"/>
              <w:rPr>
                <w:sz w:val="22"/>
                <w:szCs w:val="22"/>
              </w:rPr>
            </w:pPr>
            <w:r>
              <w:rPr>
                <w:sz w:val="22"/>
                <w:szCs w:val="22"/>
              </w:rPr>
              <w:t xml:space="preserve">Pašvaldībai nav informācijas/informācija nav ievadīta </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7F565797" w14:textId="77777777" w:rsidR="00087872" w:rsidRDefault="00256B13">
            <w:pPr>
              <w:widowControl w:val="0"/>
              <w:spacing w:after="0"/>
              <w:jc w:val="center"/>
              <w:rPr>
                <w:sz w:val="22"/>
                <w:szCs w:val="22"/>
              </w:rPr>
            </w:pPr>
            <w:r>
              <w:rPr>
                <w:sz w:val="22"/>
                <w:szCs w:val="22"/>
              </w:rPr>
              <w:t>1752</w:t>
            </w:r>
          </w:p>
        </w:tc>
      </w:tr>
      <w:tr w:rsidR="00087872" w14:paraId="71FA4F62" w14:textId="77777777">
        <w:trPr>
          <w:trHeight w:val="130"/>
          <w:jc w:val="center"/>
        </w:trPr>
        <w:tc>
          <w:tcPr>
            <w:tcW w:w="7808" w:type="dxa"/>
            <w:tcBorders>
              <w:top w:val="single" w:sz="8" w:space="0" w:color="000000"/>
              <w:left w:val="single" w:sz="8" w:space="0" w:color="000000"/>
              <w:bottom w:val="single" w:sz="8" w:space="0" w:color="000000"/>
              <w:right w:val="single" w:sz="4" w:space="0" w:color="000000"/>
            </w:tcBorders>
            <w:shd w:val="clear" w:color="auto" w:fill="auto"/>
          </w:tcPr>
          <w:p w14:paraId="5FB00271" w14:textId="77777777" w:rsidR="00087872" w:rsidRDefault="00256B13">
            <w:pPr>
              <w:widowControl w:val="0"/>
              <w:spacing w:after="0"/>
              <w:rPr>
                <w:b/>
                <w:sz w:val="22"/>
                <w:szCs w:val="22"/>
              </w:rPr>
            </w:pPr>
            <w:r>
              <w:rPr>
                <w:b/>
                <w:sz w:val="22"/>
                <w:szCs w:val="22"/>
              </w:rPr>
              <w:t>Kopā</w:t>
            </w:r>
          </w:p>
        </w:tc>
        <w:tc>
          <w:tcPr>
            <w:tcW w:w="1404" w:type="dxa"/>
            <w:tcBorders>
              <w:top w:val="single" w:sz="8" w:space="0" w:color="000000"/>
              <w:left w:val="single" w:sz="8" w:space="0" w:color="000000"/>
              <w:bottom w:val="single" w:sz="8" w:space="0" w:color="000000"/>
              <w:right w:val="single" w:sz="4" w:space="0" w:color="000000"/>
            </w:tcBorders>
            <w:shd w:val="clear" w:color="auto" w:fill="auto"/>
          </w:tcPr>
          <w:p w14:paraId="7E5A8702" w14:textId="77777777" w:rsidR="00087872" w:rsidRDefault="00256B13">
            <w:pPr>
              <w:widowControl w:val="0"/>
              <w:spacing w:after="0"/>
              <w:jc w:val="center"/>
              <w:rPr>
                <w:b/>
                <w:sz w:val="22"/>
                <w:szCs w:val="22"/>
              </w:rPr>
            </w:pPr>
            <w:r>
              <w:rPr>
                <w:b/>
                <w:sz w:val="22"/>
                <w:szCs w:val="22"/>
              </w:rPr>
              <w:t>1881</w:t>
            </w:r>
          </w:p>
        </w:tc>
      </w:tr>
    </w:tbl>
    <w:p w14:paraId="2AC465F4" w14:textId="77777777" w:rsidR="00087872" w:rsidRDefault="00087872">
      <w:pPr>
        <w:pStyle w:val="Pamatteksts"/>
        <w:rPr>
          <w:lang w:eastAsia="lv-LV"/>
        </w:rPr>
      </w:pPr>
    </w:p>
    <w:p w14:paraId="4B880527" w14:textId="77777777" w:rsidR="00087872" w:rsidRDefault="00256B13">
      <w:r>
        <w:rPr>
          <w:rFonts w:eastAsia="Times New Roman"/>
          <w:b/>
          <w:i/>
          <w:color w:val="500E8D"/>
          <w:lang w:eastAsia="lv-LV"/>
        </w:rPr>
        <w:t>Vispārējās izglītības un profesionālās izglītības iestāžu izglītojamo kavējumu uzskaite, pašvaldību un izglītības iestāžu rīcības analīze</w:t>
      </w:r>
    </w:p>
    <w:p w14:paraId="3C3A75E5" w14:textId="77777777" w:rsidR="00087872" w:rsidRDefault="00256B13">
      <w:r>
        <w:rPr>
          <w:rFonts w:eastAsiaTheme="minorHAnsi"/>
          <w:sz w:val="22"/>
          <w:szCs w:val="22"/>
          <w:lang w:eastAsia="lv-LV"/>
        </w:rPr>
        <w:t xml:space="preserve">2022. gada augustā kvalitātes dienests veica ikgadējo datu apkopojumu par ilgstošiem neattaisnotiem kavējumiem 2021. / 2022. mācību gada 1. un 2. semestrī. Datu drošticamība pilnveidota, jo ir informācija, kas VIIS tiek iegūta no </w:t>
      </w:r>
      <w:proofErr w:type="spellStart"/>
      <w:r>
        <w:rPr>
          <w:rFonts w:eastAsiaTheme="minorHAnsi"/>
          <w:sz w:val="22"/>
          <w:szCs w:val="22"/>
          <w:lang w:eastAsia="lv-LV"/>
        </w:rPr>
        <w:t>skolvadības</w:t>
      </w:r>
      <w:proofErr w:type="spellEnd"/>
      <w:r>
        <w:rPr>
          <w:rFonts w:eastAsiaTheme="minorHAnsi"/>
          <w:sz w:val="22"/>
          <w:szCs w:val="22"/>
          <w:lang w:eastAsia="lv-LV"/>
        </w:rPr>
        <w:t xml:space="preserve"> sistēmām – e-k</w:t>
      </w:r>
      <w:r>
        <w:rPr>
          <w:rFonts w:eastAsiaTheme="minorHAnsi"/>
          <w:sz w:val="22"/>
          <w:szCs w:val="22"/>
          <w:lang w:eastAsia="lv-LV"/>
        </w:rPr>
        <w:t xml:space="preserve">lase, </w:t>
      </w:r>
      <w:proofErr w:type="spellStart"/>
      <w:r>
        <w:rPr>
          <w:rFonts w:eastAsiaTheme="minorHAnsi"/>
          <w:sz w:val="22"/>
          <w:szCs w:val="22"/>
          <w:lang w:eastAsia="lv-LV"/>
        </w:rPr>
        <w:t>Mykoob</w:t>
      </w:r>
      <w:proofErr w:type="spellEnd"/>
      <w:r>
        <w:rPr>
          <w:rFonts w:eastAsiaTheme="minorHAnsi"/>
          <w:sz w:val="22"/>
          <w:szCs w:val="22"/>
          <w:lang w:eastAsia="lv-LV"/>
        </w:rPr>
        <w:t xml:space="preserve"> un pašu izglītības iestāžu izveidotām </w:t>
      </w:r>
      <w:proofErr w:type="spellStart"/>
      <w:r>
        <w:rPr>
          <w:rFonts w:eastAsiaTheme="minorHAnsi"/>
          <w:sz w:val="22"/>
          <w:szCs w:val="22"/>
          <w:lang w:eastAsia="lv-LV"/>
        </w:rPr>
        <w:t>skolvadības</w:t>
      </w:r>
      <w:proofErr w:type="spellEnd"/>
      <w:r>
        <w:rPr>
          <w:rFonts w:eastAsiaTheme="minorHAnsi"/>
          <w:sz w:val="22"/>
          <w:szCs w:val="22"/>
          <w:lang w:eastAsia="lv-LV"/>
        </w:rPr>
        <w:t xml:space="preserve"> sistēmām. Šie dati reizi semestrī tiek importēti VIIS. Līdz ar to, analizējot datus par ilgstošiem neattaisnotiem kavējumiem, tiek izmantota informācija gan no </w:t>
      </w:r>
      <w:proofErr w:type="spellStart"/>
      <w:r>
        <w:rPr>
          <w:rFonts w:eastAsiaTheme="minorHAnsi"/>
          <w:sz w:val="22"/>
          <w:szCs w:val="22"/>
          <w:lang w:eastAsia="lv-LV"/>
        </w:rPr>
        <w:t>skolvadības</w:t>
      </w:r>
      <w:proofErr w:type="spellEnd"/>
      <w:r>
        <w:rPr>
          <w:rFonts w:eastAsiaTheme="minorHAnsi"/>
          <w:sz w:val="22"/>
          <w:szCs w:val="22"/>
          <w:lang w:eastAsia="lv-LV"/>
        </w:rPr>
        <w:t xml:space="preserve"> sistēmām, gan no VIIS</w:t>
      </w:r>
      <w:r>
        <w:rPr>
          <w:rFonts w:eastAsiaTheme="minorHAnsi"/>
          <w:sz w:val="22"/>
          <w:szCs w:val="22"/>
          <w:lang w:eastAsia="lv-LV"/>
        </w:rPr>
        <w:t xml:space="preserve"> funkcionalitātes “Ilgstoši neattaisnoti kavējumi”. </w:t>
      </w:r>
    </w:p>
    <w:p w14:paraId="29C9AC08" w14:textId="77777777" w:rsidR="00087872" w:rsidRDefault="00256B13">
      <w:r>
        <w:rPr>
          <w:rFonts w:eastAsiaTheme="minorHAnsi"/>
          <w:sz w:val="22"/>
          <w:szCs w:val="22"/>
          <w:lang w:eastAsia="lv-LV"/>
        </w:rPr>
        <w:t xml:space="preserve">Kopumā 2021./2022. mācību gada 1. semestrī mācības ilgstoši kavējuši 6611 izglītojamie, 2. semestrī – 8291 (skat. 6. tabulu). </w:t>
      </w:r>
    </w:p>
    <w:p w14:paraId="38D98094" w14:textId="77777777" w:rsidR="00087872" w:rsidRDefault="00256B13">
      <w:pPr>
        <w:jc w:val="right"/>
      </w:pPr>
      <w:r>
        <w:rPr>
          <w:rFonts w:eastAsiaTheme="minorHAnsi"/>
          <w:i/>
          <w:sz w:val="22"/>
          <w:szCs w:val="22"/>
          <w:lang w:eastAsia="lv-LV"/>
        </w:rPr>
        <w:t>6. tabula</w:t>
      </w:r>
    </w:p>
    <w:p w14:paraId="0B268729" w14:textId="77777777" w:rsidR="00087872" w:rsidRDefault="00256B13">
      <w:pPr>
        <w:contextualSpacing/>
        <w:jc w:val="center"/>
      </w:pPr>
      <w:r>
        <w:rPr>
          <w:rFonts w:eastAsiaTheme="minorHAnsi"/>
          <w:i/>
          <w:sz w:val="22"/>
          <w:szCs w:val="22"/>
          <w:lang w:eastAsia="lv-LV"/>
        </w:rPr>
        <w:t>Neattaisnoto kavētāju skaits 2020.–2022. gadā pa izglītības pakāpēm</w:t>
      </w:r>
    </w:p>
    <w:p w14:paraId="601BD7C1" w14:textId="77777777" w:rsidR="00087872" w:rsidRDefault="00256B13">
      <w:pPr>
        <w:jc w:val="center"/>
      </w:pPr>
      <w:r>
        <w:rPr>
          <w:rFonts w:eastAsia="Times New Roman"/>
          <w:bCs/>
          <w:i/>
          <w:color w:val="000000"/>
          <w:sz w:val="22"/>
          <w:szCs w:val="22"/>
          <w:lang w:eastAsia="lv-LV"/>
        </w:rPr>
        <w:t xml:space="preserve"> (dati no VIIS un pašvaldībām)</w:t>
      </w:r>
    </w:p>
    <w:tbl>
      <w:tblPr>
        <w:tblW w:w="9351" w:type="dxa"/>
        <w:jc w:val="center"/>
        <w:tblLayout w:type="fixed"/>
        <w:tblLook w:val="04A0" w:firstRow="1" w:lastRow="0" w:firstColumn="1" w:lastColumn="0" w:noHBand="0" w:noVBand="1"/>
      </w:tblPr>
      <w:tblGrid>
        <w:gridCol w:w="2262"/>
        <w:gridCol w:w="1760"/>
        <w:gridCol w:w="1567"/>
        <w:gridCol w:w="2028"/>
        <w:gridCol w:w="1734"/>
      </w:tblGrid>
      <w:tr w:rsidR="00087872" w14:paraId="06141496" w14:textId="77777777">
        <w:trPr>
          <w:trHeight w:val="637"/>
          <w:jc w:val="center"/>
        </w:trPr>
        <w:tc>
          <w:tcPr>
            <w:tcW w:w="22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30F93B" w14:textId="77777777" w:rsidR="00087872" w:rsidRDefault="00256B13">
            <w:pPr>
              <w:widowControl w:val="0"/>
              <w:spacing w:after="0" w:line="240" w:lineRule="auto"/>
              <w:rPr>
                <w:sz w:val="22"/>
                <w:szCs w:val="22"/>
              </w:rPr>
            </w:pPr>
            <w:r>
              <w:rPr>
                <w:b/>
                <w:bCs/>
                <w:sz w:val="22"/>
                <w:szCs w:val="22"/>
                <w:lang w:eastAsia="lv-LV"/>
              </w:rPr>
              <w:t>Izglītības programma</w:t>
            </w:r>
            <w:r>
              <w:rPr>
                <w:b/>
                <w:bCs/>
                <w:sz w:val="22"/>
                <w:szCs w:val="22"/>
                <w:lang w:eastAsia="lv-LV"/>
              </w:rPr>
              <w:t>s veids</w:t>
            </w:r>
          </w:p>
        </w:tc>
        <w:tc>
          <w:tcPr>
            <w:tcW w:w="3327" w:type="dxa"/>
            <w:gridSpan w:val="2"/>
            <w:tcBorders>
              <w:top w:val="single" w:sz="4" w:space="0" w:color="000000"/>
              <w:left w:val="single" w:sz="4" w:space="0" w:color="000000"/>
              <w:bottom w:val="single" w:sz="4" w:space="0" w:color="000000"/>
              <w:right w:val="single" w:sz="4" w:space="0" w:color="000000"/>
            </w:tcBorders>
          </w:tcPr>
          <w:p w14:paraId="1CD6186A" w14:textId="77777777" w:rsidR="00087872" w:rsidRDefault="00256B13">
            <w:pPr>
              <w:widowControl w:val="0"/>
              <w:spacing w:after="0" w:line="240" w:lineRule="auto"/>
              <w:jc w:val="center"/>
              <w:rPr>
                <w:b/>
                <w:bCs/>
                <w:sz w:val="22"/>
                <w:szCs w:val="22"/>
                <w:lang w:eastAsia="lv-LV"/>
              </w:rPr>
            </w:pPr>
            <w:r>
              <w:rPr>
                <w:b/>
                <w:bCs/>
                <w:sz w:val="22"/>
                <w:szCs w:val="22"/>
                <w:lang w:eastAsia="lv-LV"/>
              </w:rPr>
              <w:t>Neattaisnoto kavētāju skaits</w:t>
            </w:r>
          </w:p>
          <w:p w14:paraId="5C735507" w14:textId="77777777" w:rsidR="00087872" w:rsidRDefault="00256B13">
            <w:pPr>
              <w:widowControl w:val="0"/>
              <w:spacing w:after="0" w:line="240" w:lineRule="auto"/>
              <w:jc w:val="center"/>
              <w:rPr>
                <w:b/>
                <w:bCs/>
                <w:sz w:val="22"/>
                <w:szCs w:val="22"/>
                <w:lang w:eastAsia="lv-LV"/>
              </w:rPr>
            </w:pPr>
            <w:r>
              <w:rPr>
                <w:b/>
                <w:bCs/>
                <w:sz w:val="22"/>
                <w:szCs w:val="22"/>
                <w:lang w:eastAsia="lv-LV"/>
              </w:rPr>
              <w:t xml:space="preserve">2020./2021. mācību gadā </w:t>
            </w:r>
          </w:p>
        </w:tc>
        <w:tc>
          <w:tcPr>
            <w:tcW w:w="3762" w:type="dxa"/>
            <w:gridSpan w:val="2"/>
            <w:tcBorders>
              <w:top w:val="single" w:sz="4" w:space="0" w:color="000000"/>
              <w:left w:val="single" w:sz="4" w:space="0" w:color="000000"/>
              <w:bottom w:val="single" w:sz="4" w:space="0" w:color="000000"/>
              <w:right w:val="single" w:sz="4" w:space="0" w:color="000000"/>
            </w:tcBorders>
          </w:tcPr>
          <w:p w14:paraId="4F91C210" w14:textId="77777777" w:rsidR="00087872" w:rsidRDefault="00256B13">
            <w:pPr>
              <w:widowControl w:val="0"/>
              <w:spacing w:after="0" w:line="240" w:lineRule="auto"/>
              <w:jc w:val="center"/>
              <w:rPr>
                <w:b/>
                <w:bCs/>
                <w:sz w:val="22"/>
                <w:szCs w:val="22"/>
                <w:lang w:eastAsia="lv-LV"/>
              </w:rPr>
            </w:pPr>
            <w:r>
              <w:rPr>
                <w:b/>
                <w:bCs/>
                <w:sz w:val="22"/>
                <w:szCs w:val="22"/>
                <w:lang w:eastAsia="lv-LV"/>
              </w:rPr>
              <w:t>Neattaisnoto kavētāju skaits</w:t>
            </w:r>
          </w:p>
          <w:p w14:paraId="25CEB575" w14:textId="77777777" w:rsidR="00087872" w:rsidRDefault="00256B13">
            <w:pPr>
              <w:widowControl w:val="0"/>
              <w:spacing w:after="0" w:line="240" w:lineRule="auto"/>
              <w:jc w:val="center"/>
              <w:rPr>
                <w:b/>
                <w:bCs/>
                <w:sz w:val="22"/>
                <w:szCs w:val="22"/>
                <w:lang w:eastAsia="lv-LV"/>
              </w:rPr>
            </w:pPr>
            <w:r>
              <w:rPr>
                <w:b/>
                <w:bCs/>
                <w:sz w:val="22"/>
                <w:szCs w:val="22"/>
                <w:lang w:eastAsia="lv-LV"/>
              </w:rPr>
              <w:t xml:space="preserve">2021./2022. mācību gadā </w:t>
            </w:r>
          </w:p>
        </w:tc>
      </w:tr>
      <w:tr w:rsidR="00087872" w14:paraId="66421D7C" w14:textId="77777777">
        <w:trPr>
          <w:trHeight w:val="637"/>
          <w:jc w:val="center"/>
        </w:trPr>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4B66721E" w14:textId="77777777" w:rsidR="00087872" w:rsidRDefault="00087872">
            <w:pPr>
              <w:widowControl w:val="0"/>
              <w:spacing w:after="0" w:line="240" w:lineRule="auto"/>
              <w:rPr>
                <w:b/>
                <w:bCs/>
                <w:sz w:val="22"/>
                <w:szCs w:val="22"/>
                <w:lang w:eastAsia="lv-LV"/>
              </w:rPr>
            </w:pPr>
          </w:p>
        </w:tc>
        <w:tc>
          <w:tcPr>
            <w:tcW w:w="1760" w:type="dxa"/>
            <w:tcBorders>
              <w:top w:val="single" w:sz="4" w:space="0" w:color="000000"/>
              <w:left w:val="single" w:sz="4" w:space="0" w:color="000000"/>
              <w:bottom w:val="single" w:sz="4" w:space="0" w:color="000000"/>
              <w:right w:val="single" w:sz="4" w:space="0" w:color="000000"/>
            </w:tcBorders>
          </w:tcPr>
          <w:p w14:paraId="3434C882" w14:textId="77777777" w:rsidR="00087872" w:rsidRDefault="00256B13">
            <w:pPr>
              <w:widowControl w:val="0"/>
              <w:spacing w:after="0" w:line="240" w:lineRule="auto"/>
              <w:jc w:val="center"/>
              <w:rPr>
                <w:b/>
                <w:bCs/>
                <w:sz w:val="22"/>
                <w:szCs w:val="22"/>
                <w:lang w:eastAsia="lv-LV"/>
              </w:rPr>
            </w:pPr>
            <w:r>
              <w:rPr>
                <w:b/>
                <w:bCs/>
                <w:sz w:val="22"/>
                <w:szCs w:val="22"/>
                <w:lang w:eastAsia="lv-LV"/>
              </w:rPr>
              <w:t>1.pusgads</w:t>
            </w:r>
          </w:p>
        </w:tc>
        <w:tc>
          <w:tcPr>
            <w:tcW w:w="1567" w:type="dxa"/>
            <w:tcBorders>
              <w:top w:val="single" w:sz="4" w:space="0" w:color="000000"/>
              <w:left w:val="single" w:sz="4" w:space="0" w:color="000000"/>
              <w:bottom w:val="single" w:sz="4" w:space="0" w:color="000000"/>
              <w:right w:val="single" w:sz="4" w:space="0" w:color="000000"/>
            </w:tcBorders>
          </w:tcPr>
          <w:p w14:paraId="67FCF45F" w14:textId="77777777" w:rsidR="00087872" w:rsidRDefault="00256B13">
            <w:pPr>
              <w:widowControl w:val="0"/>
              <w:spacing w:after="0" w:line="240" w:lineRule="auto"/>
              <w:jc w:val="center"/>
              <w:rPr>
                <w:b/>
                <w:bCs/>
                <w:sz w:val="22"/>
                <w:szCs w:val="22"/>
                <w:lang w:eastAsia="lv-LV"/>
              </w:rPr>
            </w:pPr>
            <w:r>
              <w:rPr>
                <w:b/>
                <w:bCs/>
                <w:sz w:val="22"/>
                <w:szCs w:val="22"/>
                <w:lang w:eastAsia="lv-LV"/>
              </w:rPr>
              <w:t>2.pusgads</w:t>
            </w:r>
          </w:p>
        </w:tc>
        <w:tc>
          <w:tcPr>
            <w:tcW w:w="2028" w:type="dxa"/>
            <w:tcBorders>
              <w:top w:val="single" w:sz="4" w:space="0" w:color="000000"/>
              <w:left w:val="single" w:sz="4" w:space="0" w:color="000000"/>
              <w:bottom w:val="single" w:sz="4" w:space="0" w:color="000000"/>
              <w:right w:val="single" w:sz="4" w:space="0" w:color="000000"/>
            </w:tcBorders>
          </w:tcPr>
          <w:p w14:paraId="6E37D5D9" w14:textId="77777777" w:rsidR="00087872" w:rsidRDefault="00256B13">
            <w:pPr>
              <w:widowControl w:val="0"/>
              <w:spacing w:after="0" w:line="240" w:lineRule="auto"/>
              <w:jc w:val="center"/>
              <w:rPr>
                <w:b/>
                <w:bCs/>
                <w:sz w:val="22"/>
                <w:szCs w:val="22"/>
                <w:lang w:eastAsia="lv-LV"/>
              </w:rPr>
            </w:pPr>
            <w:r>
              <w:rPr>
                <w:b/>
                <w:bCs/>
                <w:sz w:val="22"/>
                <w:szCs w:val="22"/>
                <w:lang w:eastAsia="lv-LV"/>
              </w:rPr>
              <w:t>1.pusgads</w:t>
            </w:r>
          </w:p>
        </w:tc>
        <w:tc>
          <w:tcPr>
            <w:tcW w:w="1734" w:type="dxa"/>
            <w:tcBorders>
              <w:top w:val="single" w:sz="4" w:space="0" w:color="000000"/>
              <w:left w:val="single" w:sz="4" w:space="0" w:color="000000"/>
              <w:bottom w:val="single" w:sz="4" w:space="0" w:color="000000"/>
              <w:right w:val="single" w:sz="4" w:space="0" w:color="000000"/>
            </w:tcBorders>
          </w:tcPr>
          <w:p w14:paraId="6F13D0E7" w14:textId="77777777" w:rsidR="00087872" w:rsidRDefault="00256B13">
            <w:pPr>
              <w:widowControl w:val="0"/>
              <w:spacing w:after="0" w:line="240" w:lineRule="auto"/>
              <w:jc w:val="center"/>
              <w:rPr>
                <w:b/>
                <w:bCs/>
                <w:sz w:val="22"/>
                <w:szCs w:val="22"/>
                <w:lang w:eastAsia="lv-LV"/>
              </w:rPr>
            </w:pPr>
            <w:r>
              <w:rPr>
                <w:b/>
                <w:bCs/>
                <w:sz w:val="22"/>
                <w:szCs w:val="22"/>
                <w:lang w:eastAsia="lv-LV"/>
              </w:rPr>
              <w:t>2.pusgads</w:t>
            </w:r>
          </w:p>
        </w:tc>
      </w:tr>
      <w:tr w:rsidR="00087872" w14:paraId="244559E4" w14:textId="77777777">
        <w:trPr>
          <w:jc w:val="center"/>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17209B9" w14:textId="77777777" w:rsidR="00087872" w:rsidRDefault="00256B13">
            <w:pPr>
              <w:widowControl w:val="0"/>
              <w:spacing w:after="0" w:line="240" w:lineRule="auto"/>
              <w:rPr>
                <w:sz w:val="22"/>
                <w:szCs w:val="22"/>
                <w:lang w:eastAsia="lv-LV"/>
              </w:rPr>
            </w:pPr>
            <w:r>
              <w:rPr>
                <w:sz w:val="22"/>
                <w:szCs w:val="22"/>
                <w:lang w:eastAsia="lv-LV"/>
              </w:rPr>
              <w:t xml:space="preserve">Pirmsskolas </w:t>
            </w:r>
          </w:p>
        </w:tc>
        <w:tc>
          <w:tcPr>
            <w:tcW w:w="1760" w:type="dxa"/>
            <w:tcBorders>
              <w:top w:val="single" w:sz="4" w:space="0" w:color="000000"/>
              <w:left w:val="single" w:sz="4" w:space="0" w:color="000000"/>
              <w:bottom w:val="single" w:sz="4" w:space="0" w:color="000000"/>
              <w:right w:val="single" w:sz="4" w:space="0" w:color="000000"/>
            </w:tcBorders>
          </w:tcPr>
          <w:p w14:paraId="5EEBB25B"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43</w:t>
            </w:r>
          </w:p>
        </w:tc>
        <w:tc>
          <w:tcPr>
            <w:tcW w:w="1567" w:type="dxa"/>
            <w:tcBorders>
              <w:top w:val="single" w:sz="4" w:space="0" w:color="000000"/>
              <w:left w:val="single" w:sz="4" w:space="0" w:color="000000"/>
              <w:bottom w:val="single" w:sz="4" w:space="0" w:color="000000"/>
              <w:right w:val="single" w:sz="4" w:space="0" w:color="000000"/>
            </w:tcBorders>
          </w:tcPr>
          <w:p w14:paraId="13263716"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21</w:t>
            </w:r>
          </w:p>
        </w:tc>
        <w:tc>
          <w:tcPr>
            <w:tcW w:w="2028" w:type="dxa"/>
            <w:tcBorders>
              <w:top w:val="single" w:sz="4" w:space="0" w:color="000000"/>
              <w:left w:val="single" w:sz="4" w:space="0" w:color="000000"/>
              <w:bottom w:val="single" w:sz="4" w:space="0" w:color="000000"/>
              <w:right w:val="single" w:sz="4" w:space="0" w:color="000000"/>
            </w:tcBorders>
          </w:tcPr>
          <w:p w14:paraId="3C1BFB4B"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38</w:t>
            </w:r>
          </w:p>
        </w:tc>
        <w:tc>
          <w:tcPr>
            <w:tcW w:w="1734" w:type="dxa"/>
            <w:tcBorders>
              <w:top w:val="single" w:sz="4" w:space="0" w:color="000000"/>
              <w:left w:val="single" w:sz="4" w:space="0" w:color="000000"/>
              <w:bottom w:val="single" w:sz="4" w:space="0" w:color="000000"/>
              <w:right w:val="single" w:sz="4" w:space="0" w:color="000000"/>
            </w:tcBorders>
          </w:tcPr>
          <w:p w14:paraId="18843DD9"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30</w:t>
            </w:r>
          </w:p>
        </w:tc>
      </w:tr>
      <w:tr w:rsidR="00087872" w14:paraId="7EAE69AA" w14:textId="77777777">
        <w:trPr>
          <w:jc w:val="center"/>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396522D" w14:textId="77777777" w:rsidR="00087872" w:rsidRDefault="00256B13">
            <w:pPr>
              <w:widowControl w:val="0"/>
              <w:spacing w:after="0" w:line="240" w:lineRule="auto"/>
              <w:rPr>
                <w:sz w:val="22"/>
                <w:szCs w:val="22"/>
                <w:lang w:eastAsia="lv-LV"/>
              </w:rPr>
            </w:pPr>
            <w:r>
              <w:rPr>
                <w:sz w:val="22"/>
                <w:szCs w:val="22"/>
                <w:lang w:eastAsia="lv-LV"/>
              </w:rPr>
              <w:t xml:space="preserve">Vispārējās pamatizglītības (neieskaitot speciālo pamatizglītību) </w:t>
            </w:r>
          </w:p>
        </w:tc>
        <w:tc>
          <w:tcPr>
            <w:tcW w:w="1760" w:type="dxa"/>
            <w:tcBorders>
              <w:top w:val="single" w:sz="4" w:space="0" w:color="000000"/>
              <w:left w:val="single" w:sz="4" w:space="0" w:color="000000"/>
              <w:bottom w:val="single" w:sz="4" w:space="0" w:color="000000"/>
              <w:right w:val="single" w:sz="4" w:space="0" w:color="000000"/>
            </w:tcBorders>
          </w:tcPr>
          <w:p w14:paraId="08DB53BB"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3340</w:t>
            </w:r>
          </w:p>
        </w:tc>
        <w:tc>
          <w:tcPr>
            <w:tcW w:w="1567" w:type="dxa"/>
            <w:tcBorders>
              <w:top w:val="single" w:sz="4" w:space="0" w:color="000000"/>
              <w:left w:val="single" w:sz="4" w:space="0" w:color="000000"/>
              <w:bottom w:val="single" w:sz="4" w:space="0" w:color="000000"/>
              <w:right w:val="single" w:sz="4" w:space="0" w:color="000000"/>
            </w:tcBorders>
          </w:tcPr>
          <w:p w14:paraId="6127D611"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5809</w:t>
            </w:r>
          </w:p>
        </w:tc>
        <w:tc>
          <w:tcPr>
            <w:tcW w:w="2028" w:type="dxa"/>
            <w:tcBorders>
              <w:top w:val="single" w:sz="4" w:space="0" w:color="000000"/>
              <w:left w:val="single" w:sz="4" w:space="0" w:color="000000"/>
              <w:bottom w:val="single" w:sz="4" w:space="0" w:color="000000"/>
              <w:right w:val="single" w:sz="4" w:space="0" w:color="000000"/>
            </w:tcBorders>
          </w:tcPr>
          <w:p w14:paraId="504C3FAA"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3210</w:t>
            </w:r>
          </w:p>
        </w:tc>
        <w:tc>
          <w:tcPr>
            <w:tcW w:w="1734" w:type="dxa"/>
            <w:tcBorders>
              <w:top w:val="single" w:sz="4" w:space="0" w:color="000000"/>
              <w:left w:val="single" w:sz="4" w:space="0" w:color="000000"/>
              <w:bottom w:val="single" w:sz="4" w:space="0" w:color="000000"/>
              <w:right w:val="single" w:sz="4" w:space="0" w:color="000000"/>
            </w:tcBorders>
          </w:tcPr>
          <w:p w14:paraId="18332F68"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4445</w:t>
            </w:r>
          </w:p>
        </w:tc>
      </w:tr>
      <w:tr w:rsidR="00087872" w14:paraId="523FBD94" w14:textId="77777777">
        <w:trPr>
          <w:jc w:val="center"/>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418AA81" w14:textId="77777777" w:rsidR="00087872" w:rsidRDefault="00256B13">
            <w:pPr>
              <w:widowControl w:val="0"/>
              <w:spacing w:after="0" w:line="240" w:lineRule="auto"/>
              <w:rPr>
                <w:sz w:val="22"/>
                <w:szCs w:val="22"/>
                <w:lang w:eastAsia="lv-LV"/>
              </w:rPr>
            </w:pPr>
            <w:r>
              <w:rPr>
                <w:sz w:val="22"/>
                <w:szCs w:val="22"/>
                <w:lang w:eastAsia="lv-LV"/>
              </w:rPr>
              <w:t xml:space="preserve">Vispārējās vidējās izglītības </w:t>
            </w:r>
          </w:p>
        </w:tc>
        <w:tc>
          <w:tcPr>
            <w:tcW w:w="1760" w:type="dxa"/>
            <w:tcBorders>
              <w:top w:val="single" w:sz="4" w:space="0" w:color="000000"/>
              <w:left w:val="single" w:sz="4" w:space="0" w:color="000000"/>
              <w:bottom w:val="single" w:sz="4" w:space="0" w:color="000000"/>
              <w:right w:val="single" w:sz="4" w:space="0" w:color="000000"/>
            </w:tcBorders>
          </w:tcPr>
          <w:p w14:paraId="4151C133"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1305</w:t>
            </w:r>
          </w:p>
        </w:tc>
        <w:tc>
          <w:tcPr>
            <w:tcW w:w="1567" w:type="dxa"/>
            <w:tcBorders>
              <w:top w:val="single" w:sz="4" w:space="0" w:color="000000"/>
              <w:left w:val="single" w:sz="4" w:space="0" w:color="000000"/>
              <w:bottom w:val="single" w:sz="4" w:space="0" w:color="000000"/>
              <w:right w:val="single" w:sz="4" w:space="0" w:color="000000"/>
            </w:tcBorders>
          </w:tcPr>
          <w:p w14:paraId="786D8D0D"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1744</w:t>
            </w:r>
          </w:p>
        </w:tc>
        <w:tc>
          <w:tcPr>
            <w:tcW w:w="2028" w:type="dxa"/>
            <w:tcBorders>
              <w:top w:val="single" w:sz="4" w:space="0" w:color="000000"/>
              <w:left w:val="single" w:sz="4" w:space="0" w:color="000000"/>
              <w:bottom w:val="single" w:sz="4" w:space="0" w:color="000000"/>
              <w:right w:val="single" w:sz="4" w:space="0" w:color="000000"/>
            </w:tcBorders>
          </w:tcPr>
          <w:p w14:paraId="1DC92F86"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1214</w:t>
            </w:r>
          </w:p>
        </w:tc>
        <w:tc>
          <w:tcPr>
            <w:tcW w:w="1734" w:type="dxa"/>
            <w:tcBorders>
              <w:top w:val="single" w:sz="4" w:space="0" w:color="000000"/>
              <w:left w:val="single" w:sz="4" w:space="0" w:color="000000"/>
              <w:bottom w:val="single" w:sz="4" w:space="0" w:color="000000"/>
              <w:right w:val="single" w:sz="4" w:space="0" w:color="000000"/>
            </w:tcBorders>
          </w:tcPr>
          <w:p w14:paraId="4A30EEA3"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1942</w:t>
            </w:r>
          </w:p>
        </w:tc>
      </w:tr>
      <w:tr w:rsidR="00087872" w14:paraId="3B7F1FB2" w14:textId="77777777">
        <w:trPr>
          <w:jc w:val="center"/>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58B2DA" w14:textId="77777777" w:rsidR="00087872" w:rsidRDefault="00256B13">
            <w:pPr>
              <w:widowControl w:val="0"/>
              <w:spacing w:after="0" w:line="240" w:lineRule="auto"/>
              <w:rPr>
                <w:sz w:val="22"/>
                <w:szCs w:val="22"/>
                <w:lang w:eastAsia="lv-LV"/>
              </w:rPr>
            </w:pPr>
            <w:r>
              <w:rPr>
                <w:sz w:val="22"/>
                <w:szCs w:val="22"/>
                <w:lang w:eastAsia="lv-LV"/>
              </w:rPr>
              <w:t>Profesionālās izglītības</w:t>
            </w:r>
          </w:p>
        </w:tc>
        <w:tc>
          <w:tcPr>
            <w:tcW w:w="1760" w:type="dxa"/>
            <w:tcBorders>
              <w:top w:val="single" w:sz="4" w:space="0" w:color="000000"/>
              <w:left w:val="single" w:sz="4" w:space="0" w:color="000000"/>
              <w:bottom w:val="single" w:sz="4" w:space="0" w:color="000000"/>
              <w:right w:val="single" w:sz="4" w:space="0" w:color="000000"/>
            </w:tcBorders>
          </w:tcPr>
          <w:p w14:paraId="4FD2381A"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1565</w:t>
            </w:r>
          </w:p>
        </w:tc>
        <w:tc>
          <w:tcPr>
            <w:tcW w:w="1567" w:type="dxa"/>
            <w:tcBorders>
              <w:top w:val="single" w:sz="4" w:space="0" w:color="000000"/>
              <w:left w:val="single" w:sz="4" w:space="0" w:color="000000"/>
              <w:bottom w:val="single" w:sz="4" w:space="0" w:color="000000"/>
              <w:right w:val="single" w:sz="4" w:space="0" w:color="000000"/>
            </w:tcBorders>
          </w:tcPr>
          <w:p w14:paraId="4EBF0E4B"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808</w:t>
            </w:r>
          </w:p>
        </w:tc>
        <w:tc>
          <w:tcPr>
            <w:tcW w:w="2028" w:type="dxa"/>
            <w:tcBorders>
              <w:top w:val="single" w:sz="4" w:space="0" w:color="000000"/>
              <w:left w:val="single" w:sz="4" w:space="0" w:color="000000"/>
              <w:bottom w:val="single" w:sz="4" w:space="0" w:color="000000"/>
              <w:right w:val="single" w:sz="4" w:space="0" w:color="000000"/>
            </w:tcBorders>
          </w:tcPr>
          <w:p w14:paraId="12942CB7"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2149</w:t>
            </w:r>
          </w:p>
        </w:tc>
        <w:tc>
          <w:tcPr>
            <w:tcW w:w="1734" w:type="dxa"/>
            <w:tcBorders>
              <w:top w:val="single" w:sz="4" w:space="0" w:color="000000"/>
              <w:left w:val="single" w:sz="4" w:space="0" w:color="000000"/>
              <w:bottom w:val="single" w:sz="4" w:space="0" w:color="000000"/>
              <w:right w:val="single" w:sz="4" w:space="0" w:color="000000"/>
            </w:tcBorders>
          </w:tcPr>
          <w:p w14:paraId="5984174F"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1874</w:t>
            </w:r>
          </w:p>
        </w:tc>
      </w:tr>
      <w:tr w:rsidR="00087872" w14:paraId="001B325A" w14:textId="77777777">
        <w:trPr>
          <w:jc w:val="center"/>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6EFBC05" w14:textId="77777777" w:rsidR="00087872" w:rsidRDefault="00256B13">
            <w:pPr>
              <w:widowControl w:val="0"/>
              <w:spacing w:after="0" w:line="240" w:lineRule="auto"/>
              <w:rPr>
                <w:sz w:val="22"/>
                <w:szCs w:val="22"/>
              </w:rPr>
            </w:pPr>
            <w:r>
              <w:rPr>
                <w:b/>
                <w:bCs/>
                <w:sz w:val="22"/>
                <w:szCs w:val="22"/>
                <w:lang w:eastAsia="lv-LV"/>
              </w:rPr>
              <w:t>KOPĀ</w:t>
            </w:r>
            <w:r>
              <w:rPr>
                <w:sz w:val="22"/>
                <w:szCs w:val="22"/>
                <w:lang w:eastAsia="lv-LV"/>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060CC2D1"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 xml:space="preserve">6253 </w:t>
            </w:r>
          </w:p>
        </w:tc>
        <w:tc>
          <w:tcPr>
            <w:tcW w:w="1567" w:type="dxa"/>
            <w:tcBorders>
              <w:top w:val="single" w:sz="4" w:space="0" w:color="000000"/>
              <w:left w:val="single" w:sz="4" w:space="0" w:color="000000"/>
              <w:bottom w:val="single" w:sz="4" w:space="0" w:color="000000"/>
              <w:right w:val="single" w:sz="4" w:space="0" w:color="000000"/>
            </w:tcBorders>
          </w:tcPr>
          <w:p w14:paraId="329A8BD7"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 xml:space="preserve">8382 </w:t>
            </w:r>
          </w:p>
        </w:tc>
        <w:tc>
          <w:tcPr>
            <w:tcW w:w="2028" w:type="dxa"/>
            <w:tcBorders>
              <w:top w:val="single" w:sz="4" w:space="0" w:color="000000"/>
              <w:left w:val="single" w:sz="4" w:space="0" w:color="000000"/>
              <w:bottom w:val="single" w:sz="4" w:space="0" w:color="000000"/>
              <w:right w:val="single" w:sz="4" w:space="0" w:color="000000"/>
            </w:tcBorders>
          </w:tcPr>
          <w:p w14:paraId="6DF38E9F"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 xml:space="preserve">6611 </w:t>
            </w:r>
          </w:p>
        </w:tc>
        <w:tc>
          <w:tcPr>
            <w:tcW w:w="1734" w:type="dxa"/>
            <w:tcBorders>
              <w:top w:val="single" w:sz="4" w:space="0" w:color="000000"/>
              <w:left w:val="single" w:sz="4" w:space="0" w:color="000000"/>
              <w:bottom w:val="single" w:sz="4" w:space="0" w:color="000000"/>
              <w:right w:val="single" w:sz="4" w:space="0" w:color="000000"/>
            </w:tcBorders>
          </w:tcPr>
          <w:p w14:paraId="33B34999" w14:textId="77777777" w:rsidR="00087872" w:rsidRDefault="00256B13">
            <w:pPr>
              <w:widowControl w:val="0"/>
              <w:spacing w:after="0" w:line="240" w:lineRule="auto"/>
              <w:jc w:val="center"/>
              <w:rPr>
                <w:rFonts w:eastAsia="Times New Roman"/>
                <w:sz w:val="22"/>
                <w:szCs w:val="22"/>
              </w:rPr>
            </w:pPr>
            <w:r>
              <w:rPr>
                <w:rFonts w:eastAsia="Times New Roman"/>
                <w:sz w:val="22"/>
                <w:szCs w:val="22"/>
              </w:rPr>
              <w:t>8291</w:t>
            </w:r>
          </w:p>
        </w:tc>
      </w:tr>
    </w:tbl>
    <w:p w14:paraId="2E6749EA" w14:textId="77777777" w:rsidR="00087872" w:rsidRDefault="00087872">
      <w:pPr>
        <w:rPr>
          <w:rFonts w:eastAsiaTheme="minorHAnsi"/>
          <w:sz w:val="22"/>
          <w:szCs w:val="22"/>
          <w:lang w:eastAsia="lv-LV"/>
        </w:rPr>
      </w:pPr>
    </w:p>
    <w:p w14:paraId="4B8B57B9" w14:textId="77777777" w:rsidR="00087872" w:rsidRDefault="00256B13">
      <w:pPr>
        <w:spacing w:after="0"/>
        <w:contextualSpacing/>
      </w:pPr>
      <w:r>
        <w:rPr>
          <w:rFonts w:eastAsiaTheme="minorHAnsi"/>
          <w:sz w:val="22"/>
          <w:szCs w:val="22"/>
          <w:lang w:eastAsia="lv-LV"/>
        </w:rPr>
        <w:t xml:space="preserve">Galvenie izpētes rezultātā </w:t>
      </w:r>
      <w:r>
        <w:rPr>
          <w:rFonts w:eastAsiaTheme="minorHAnsi"/>
          <w:sz w:val="22"/>
          <w:szCs w:val="22"/>
          <w:lang w:eastAsia="lv-LV"/>
        </w:rPr>
        <w:t>izdarītie secinājumi:</w:t>
      </w:r>
    </w:p>
    <w:p w14:paraId="3BB12189" w14:textId="77777777" w:rsidR="00087872" w:rsidRDefault="00256B13">
      <w:pPr>
        <w:numPr>
          <w:ilvl w:val="0"/>
          <w:numId w:val="6"/>
        </w:numPr>
        <w:spacing w:after="0"/>
      </w:pPr>
      <w:bookmarkStart w:id="33" w:name="_Toc456011951"/>
      <w:bookmarkStart w:id="34" w:name="_Toc456012538"/>
      <w:bookmarkEnd w:id="33"/>
      <w:bookmarkEnd w:id="34"/>
      <w:r>
        <w:rPr>
          <w:sz w:val="22"/>
          <w:szCs w:val="22"/>
        </w:rPr>
        <w:t>Datu atšķirības starp VIIS atskaitē “Izglītojamo kavējumu skaits pamata un vidējās vispārējās un profesionālās izglītības programmās” uzskaitītajiem neattaisnotajiem kavējumiem (izglītojamiem, kuri neattaisnoti kavējuši vairāk nekā 20</w:t>
      </w:r>
      <w:r>
        <w:rPr>
          <w:sz w:val="22"/>
          <w:szCs w:val="22"/>
        </w:rPr>
        <w:t xml:space="preserve"> mācību stundas semestrī) un VIIS funkcionalitātē “Ilgstošo neattaisnoto kavējumu iemesli” ievadītie ilgstošie neattaisnotie kavējumi uzrāda problēmas datu ievadē un uzskaitē. Daudzas vispārējās izglītības iestādes nav ievadījušas informāciju par ilgstošie</w:t>
      </w:r>
      <w:r>
        <w:rPr>
          <w:sz w:val="22"/>
          <w:szCs w:val="22"/>
        </w:rPr>
        <w:t>m neattaisnotiem kavējumiem, to iemesliem un rīcību kavējumu novēršanai, savukārt attiecībā uz profesionālās izglītības iestādēm šīs informācijas ievade, salīdzinot ar iepriekšējiem mācību gadiem, ir uzlabojusies;</w:t>
      </w:r>
    </w:p>
    <w:p w14:paraId="156049A2" w14:textId="77777777" w:rsidR="00087872" w:rsidRDefault="00256B13">
      <w:pPr>
        <w:numPr>
          <w:ilvl w:val="0"/>
          <w:numId w:val="6"/>
        </w:numPr>
        <w:spacing w:after="0"/>
      </w:pPr>
      <w:r>
        <w:rPr>
          <w:sz w:val="22"/>
          <w:szCs w:val="22"/>
        </w:rPr>
        <w:t xml:space="preserve">Ilgstošo neattaisnoto kavējumu skaitu arī </w:t>
      </w:r>
      <w:r>
        <w:rPr>
          <w:sz w:val="22"/>
          <w:szCs w:val="22"/>
        </w:rPr>
        <w:t xml:space="preserve">2021. / 2022. mācību gadā ietekmējušas Covid-19 pandēmijas dēļ regulāri noteiktās attālinātās mācības; </w:t>
      </w:r>
    </w:p>
    <w:p w14:paraId="29F57C8E" w14:textId="77777777" w:rsidR="00087872" w:rsidRDefault="00256B13">
      <w:pPr>
        <w:numPr>
          <w:ilvl w:val="0"/>
          <w:numId w:val="6"/>
        </w:numPr>
        <w:spacing w:after="0"/>
      </w:pPr>
      <w:r>
        <w:rPr>
          <w:sz w:val="22"/>
          <w:szCs w:val="22"/>
        </w:rPr>
        <w:t>Visbiežāk izglītības iestāžu minētie neattaisnotu kavējumu iemesli ir mācību motivācijas trūkumus, veselības un ģimenes problēmas;</w:t>
      </w:r>
    </w:p>
    <w:p w14:paraId="49B82FF9" w14:textId="77777777" w:rsidR="00087872" w:rsidRDefault="00256B13">
      <w:pPr>
        <w:numPr>
          <w:ilvl w:val="0"/>
          <w:numId w:val="6"/>
        </w:numPr>
        <w:spacing w:after="0"/>
      </w:pPr>
      <w:r>
        <w:rPr>
          <w:sz w:val="22"/>
          <w:szCs w:val="22"/>
        </w:rPr>
        <w:t xml:space="preserve">Saistībā ar Covid-19 </w:t>
      </w:r>
      <w:r>
        <w:rPr>
          <w:sz w:val="22"/>
          <w:szCs w:val="22"/>
        </w:rPr>
        <w:t xml:space="preserve">pandēmiju un tās dēļ noteiktajām attālinātajām mācībām izglītības iestādes kā ilgstošu neattaisnotu kavējumu iemeslus nosaukušas arī </w:t>
      </w:r>
      <w:proofErr w:type="spellStart"/>
      <w:r>
        <w:rPr>
          <w:sz w:val="22"/>
          <w:szCs w:val="22"/>
        </w:rPr>
        <w:t>viedierīču</w:t>
      </w:r>
      <w:proofErr w:type="spellEnd"/>
      <w:r>
        <w:rPr>
          <w:sz w:val="22"/>
          <w:szCs w:val="22"/>
        </w:rPr>
        <w:t xml:space="preserve"> trūkumu attālināto mācību laikā, problēmas ar interneta </w:t>
      </w:r>
      <w:proofErr w:type="spellStart"/>
      <w:r>
        <w:rPr>
          <w:sz w:val="22"/>
          <w:szCs w:val="22"/>
        </w:rPr>
        <w:t>pieslēgumu</w:t>
      </w:r>
      <w:proofErr w:type="spellEnd"/>
      <w:r>
        <w:rPr>
          <w:sz w:val="22"/>
          <w:szCs w:val="22"/>
        </w:rPr>
        <w:t xml:space="preserve"> vai tehnisko nodrošinājumu attālinātām mācībā</w:t>
      </w:r>
      <w:r>
        <w:rPr>
          <w:sz w:val="22"/>
          <w:szCs w:val="22"/>
        </w:rPr>
        <w:t>m, motivācijas trūkumu tieši attālināto mācību laikā;</w:t>
      </w:r>
    </w:p>
    <w:p w14:paraId="3A153BE0" w14:textId="77777777" w:rsidR="00087872" w:rsidRDefault="00256B13">
      <w:pPr>
        <w:numPr>
          <w:ilvl w:val="0"/>
          <w:numId w:val="6"/>
        </w:numPr>
        <w:spacing w:after="0"/>
      </w:pPr>
      <w:r>
        <w:rPr>
          <w:sz w:val="22"/>
          <w:szCs w:val="22"/>
        </w:rPr>
        <w:t>Vairumā gadījumu izglītības iestādes neattaisnotu kavējumu novēršanai veic pārrunas ar izglītojamo un viņa vecākiem, iesaista atbalsta personālu un pašvaldības sociālo dienestu. Pašvaldību visbiežāk vei</w:t>
      </w:r>
      <w:r>
        <w:rPr>
          <w:sz w:val="22"/>
          <w:szCs w:val="22"/>
        </w:rPr>
        <w:t xml:space="preserve">ktās darbības neattaisnoto kavējumu novēršanai ir izglītojamā ārstēšana no atkarības, sociālā dienesta darbs ar izglītojamā ģimeni, atbalsta personāla iesaiste, </w:t>
      </w:r>
      <w:proofErr w:type="spellStart"/>
      <w:r>
        <w:rPr>
          <w:sz w:val="22"/>
          <w:szCs w:val="22"/>
        </w:rPr>
        <w:t>starpinstitucionālās</w:t>
      </w:r>
      <w:proofErr w:type="spellEnd"/>
      <w:r>
        <w:rPr>
          <w:sz w:val="22"/>
          <w:szCs w:val="22"/>
        </w:rPr>
        <w:t xml:space="preserve"> sadarbības sanāksmes sasaukšana, bāriņtiesas, kā arī Valsts policijas un p</w:t>
      </w:r>
      <w:r>
        <w:rPr>
          <w:sz w:val="22"/>
          <w:szCs w:val="22"/>
        </w:rPr>
        <w:t>ašvaldības policijas iesaiste</w:t>
      </w:r>
      <w:r>
        <w:t xml:space="preserve">. </w:t>
      </w:r>
    </w:p>
    <w:p w14:paraId="5BA6C0BD" w14:textId="77777777" w:rsidR="00087872" w:rsidRDefault="00087872">
      <w:pPr>
        <w:pStyle w:val="Sarakstarindkopa"/>
        <w:rPr>
          <w:rFonts w:ascii="Times New Roman" w:hAnsi="Times New Roman"/>
          <w:lang w:eastAsia="en-US"/>
        </w:rPr>
      </w:pPr>
    </w:p>
    <w:p w14:paraId="273CEDA0" w14:textId="77777777" w:rsidR="00087872" w:rsidRDefault="00256B13">
      <w:pPr>
        <w:pStyle w:val="virsraksts60"/>
      </w:pPr>
      <w:bookmarkStart w:id="35" w:name="_Toc4560119511"/>
      <w:bookmarkStart w:id="36" w:name="_Toc4560125381"/>
      <w:bookmarkStart w:id="37" w:name="_Toc456011953"/>
      <w:bookmarkStart w:id="38" w:name="_Toc456012540"/>
      <w:bookmarkEnd w:id="35"/>
      <w:bookmarkEnd w:id="36"/>
      <w:r>
        <w:rPr>
          <w:sz w:val="24"/>
        </w:rPr>
        <w:t>Iepriekš sodīto personu izvērtēšana</w:t>
      </w:r>
      <w:bookmarkEnd w:id="37"/>
      <w:bookmarkEnd w:id="38"/>
      <w:r>
        <w:rPr>
          <w:sz w:val="24"/>
        </w:rPr>
        <w:t xml:space="preserve"> </w:t>
      </w:r>
    </w:p>
    <w:p w14:paraId="6774DA3B" w14:textId="77777777" w:rsidR="00087872" w:rsidRDefault="00256B13">
      <w:r>
        <w:rPr>
          <w:rFonts w:eastAsia="Times New Roman"/>
          <w:sz w:val="22"/>
          <w:szCs w:val="22"/>
        </w:rPr>
        <w:t>Pamatojoties uz Izglītības likuma 50. panta pirmās daļas 1. punktā un Ministru kabineta 2019. gada 3. septembra noteikumos Nr. 414 “Kārtība, kādā tiek izvērtēta personas atbilstība pedagoga amatam” noteikto kvalitātes dienesta izveidotā Personu izvērtēšana</w:t>
      </w:r>
      <w:r>
        <w:rPr>
          <w:rFonts w:eastAsia="Times New Roman"/>
          <w:sz w:val="22"/>
          <w:szCs w:val="22"/>
        </w:rPr>
        <w:t xml:space="preserve">s komisija 2022. pieņēma 25 lēmumus par atļaujas izsniegšanu strādāt par pedagogu, savukārt 4 gadījumos atļauja tika atteikta. Visas atļaujas tika izsniegtas bez ierobežojumiem attiecībā uz </w:t>
      </w:r>
      <w:proofErr w:type="spellStart"/>
      <w:r>
        <w:rPr>
          <w:rFonts w:eastAsia="Times New Roman"/>
          <w:sz w:val="22"/>
          <w:szCs w:val="22"/>
        </w:rPr>
        <w:t>mērķgrupām</w:t>
      </w:r>
      <w:proofErr w:type="spellEnd"/>
      <w:r>
        <w:rPr>
          <w:rFonts w:eastAsia="Times New Roman"/>
          <w:sz w:val="22"/>
          <w:szCs w:val="22"/>
        </w:rPr>
        <w:t>. Pārskata periodā notika 8 Personu izvērtēšanas komisij</w:t>
      </w:r>
      <w:r>
        <w:rPr>
          <w:rFonts w:eastAsia="Times New Roman"/>
          <w:sz w:val="22"/>
          <w:szCs w:val="22"/>
        </w:rPr>
        <w:t xml:space="preserve">as sēdes, visas notika attālināti – </w:t>
      </w:r>
      <w:proofErr w:type="spellStart"/>
      <w:r>
        <w:rPr>
          <w:rFonts w:eastAsia="Times New Roman"/>
          <w:i/>
          <w:iCs/>
          <w:sz w:val="22"/>
          <w:szCs w:val="22"/>
        </w:rPr>
        <w:t>Zoom</w:t>
      </w:r>
      <w:proofErr w:type="spellEnd"/>
      <w:r>
        <w:rPr>
          <w:rFonts w:eastAsia="Times New Roman"/>
          <w:sz w:val="22"/>
          <w:szCs w:val="22"/>
        </w:rPr>
        <w:t xml:space="preserve"> platformā. </w:t>
      </w:r>
    </w:p>
    <w:p w14:paraId="08E4F1BD" w14:textId="77777777" w:rsidR="00087872" w:rsidRDefault="00256B13">
      <w:r>
        <w:rPr>
          <w:rFonts w:eastAsia="Times New Roman"/>
          <w:sz w:val="22"/>
          <w:szCs w:val="22"/>
        </w:rPr>
        <w:t xml:space="preserve">Pārskata periodā turpinājās aktīvs darbs, konsultējot izglītības iestāžu vadītājus un pedagogus par personu izvērtēšanas jautājumiem, kā arī personāla pārbaudes </w:t>
      </w:r>
      <w:proofErr w:type="spellStart"/>
      <w:r>
        <w:rPr>
          <w:rFonts w:eastAsia="Times New Roman"/>
          <w:sz w:val="22"/>
          <w:szCs w:val="22"/>
        </w:rPr>
        <w:t>Iekšlietu</w:t>
      </w:r>
      <w:proofErr w:type="spellEnd"/>
      <w:r>
        <w:rPr>
          <w:rFonts w:eastAsia="Times New Roman"/>
          <w:sz w:val="22"/>
          <w:szCs w:val="22"/>
        </w:rPr>
        <w:t xml:space="preserve"> ministrijas Sodu reģistrā pirms </w:t>
      </w:r>
      <w:r>
        <w:rPr>
          <w:rFonts w:eastAsia="Times New Roman"/>
          <w:sz w:val="22"/>
          <w:szCs w:val="22"/>
        </w:rPr>
        <w:t>izglītības iestādes akreditācijas vai izglītības iestādes vadītāja profesionālās darbības izvērtēšanas. Īstenojot šo darbu, kvalitātes dienests pārliecinājies, ka joprojām daudziem izglītības iestāžu vadītājiem trūkst izpratnes par nepieciešamību pārbaudīt</w:t>
      </w:r>
      <w:r>
        <w:rPr>
          <w:rFonts w:eastAsia="Times New Roman"/>
          <w:sz w:val="22"/>
          <w:szCs w:val="22"/>
        </w:rPr>
        <w:t xml:space="preserve"> personāla sodāmību un ierobežojumu gadījumā aicināt personu veikt izvērtēšanas procesu un saņemt atļauju strādāt par pedagogu. </w:t>
      </w:r>
    </w:p>
    <w:p w14:paraId="521A8D24" w14:textId="77777777" w:rsidR="00087872" w:rsidRDefault="00087872">
      <w:pPr>
        <w:pStyle w:val="Virsraksts31"/>
        <w:contextualSpacing/>
      </w:pPr>
    </w:p>
    <w:p w14:paraId="5FA581BB" w14:textId="77777777" w:rsidR="00087872" w:rsidRDefault="00087872">
      <w:pPr>
        <w:pStyle w:val="Virsraksts31"/>
        <w:contextualSpacing/>
      </w:pPr>
    </w:p>
    <w:p w14:paraId="6B6ED319" w14:textId="77777777" w:rsidR="00087872" w:rsidRDefault="00256B13">
      <w:pPr>
        <w:pStyle w:val="Virsraksts31"/>
      </w:pPr>
      <w:bookmarkStart w:id="39" w:name="_Toc139120228"/>
      <w:bookmarkStart w:id="40" w:name="_Toc456012541"/>
      <w:bookmarkStart w:id="41" w:name="_Toc456012649"/>
      <w:r>
        <w:t>2.2.2. Izglītības programmu licencēšana</w:t>
      </w:r>
      <w:bookmarkEnd w:id="39"/>
      <w:bookmarkEnd w:id="40"/>
      <w:bookmarkEnd w:id="41"/>
    </w:p>
    <w:p w14:paraId="15A56311" w14:textId="77777777" w:rsidR="00087872" w:rsidRDefault="00256B13">
      <w:r>
        <w:rPr>
          <w:sz w:val="22"/>
          <w:szCs w:val="22"/>
        </w:rPr>
        <w:t xml:space="preserve">Pārskata periodā kvalitātes dienesta Licencēšanas un reģistru departaments (no 2022. </w:t>
      </w:r>
      <w:r>
        <w:rPr>
          <w:sz w:val="22"/>
          <w:szCs w:val="22"/>
        </w:rPr>
        <w:t>gada oktobra – Kvalitātes vērtēšanas departaments) nodrošināja vispārējās un profesionālās izglītības programmu licencēšanu atbilstoši Ministru kabineta 2019.gada 28.maija noteikumiem Nr.218 „Vispārējās un profesionālās izglītības programmu licencēšanas kā</w:t>
      </w:r>
      <w:r>
        <w:rPr>
          <w:sz w:val="22"/>
          <w:szCs w:val="22"/>
        </w:rPr>
        <w:t xml:space="preserve">rtība” (turpmāk – MK noteikumi Nr.218), licencējot 257 vispārējās izglītības programmas un 704 profesionālās izglītības programmas. </w:t>
      </w:r>
    </w:p>
    <w:p w14:paraId="04D635C2" w14:textId="77777777" w:rsidR="00087872" w:rsidRDefault="00256B13">
      <w:r>
        <w:rPr>
          <w:sz w:val="22"/>
          <w:szCs w:val="22"/>
        </w:rPr>
        <w:t>Reaģējot uz aktuālajiem grozījumiem normatīvajos aktos, 2022. gadā sagatavots jauns Ministru kabineta noteikumu projekts “V</w:t>
      </w:r>
      <w:r>
        <w:rPr>
          <w:sz w:val="22"/>
          <w:szCs w:val="22"/>
        </w:rPr>
        <w:t>ispārējās un profesionālās izglītības programmu licencēšanas kārtība”.</w:t>
      </w:r>
    </w:p>
    <w:p w14:paraId="28D8F7E5" w14:textId="77777777" w:rsidR="00087872" w:rsidRDefault="00256B13">
      <w:r>
        <w:rPr>
          <w:sz w:val="22"/>
          <w:szCs w:val="22"/>
        </w:rPr>
        <w:t>Pārskata periodā sniegtas plašas konsultācijas izglītības iestādēm par izglītības programmu aktualizāciju saistībā ar pāreju uz jaunajiem valsts izglītības standartiem, mācību priekšmet</w:t>
      </w:r>
      <w:r>
        <w:rPr>
          <w:sz w:val="22"/>
          <w:szCs w:val="22"/>
        </w:rPr>
        <w:t>u un stundu / mācību priekšmetu kursu plānu aktualizēšanu, izglītības iestāžu statusa / tipa maiņu, izglītības iestāžu reorganizāciju, izglītības programmu pārņemšanu, par pedagogu izglītības dokumentu atbilstību, Ukrainas civiliedzīvotāju bērnu izglītošan</w:t>
      </w:r>
      <w:r>
        <w:rPr>
          <w:sz w:val="22"/>
          <w:szCs w:val="22"/>
        </w:rPr>
        <w:t>u, kā arī par pakāpenisku mazākumtautību izglītības programmu slēgšanu, īstenojot pāreju uz mācībām valsts valodā u.c.</w:t>
      </w:r>
    </w:p>
    <w:p w14:paraId="26AACA4F" w14:textId="77777777" w:rsidR="00087872" w:rsidRDefault="00087872">
      <w:pPr>
        <w:spacing w:after="0"/>
        <w:rPr>
          <w:rFonts w:eastAsia="Times New Roman"/>
          <w:b/>
          <w:i/>
          <w:color w:val="500E8D"/>
        </w:rPr>
      </w:pPr>
    </w:p>
    <w:p w14:paraId="0120026F" w14:textId="77777777" w:rsidR="00087872" w:rsidRDefault="00256B13">
      <w:bookmarkStart w:id="42" w:name="_Toc456011954"/>
      <w:bookmarkStart w:id="43" w:name="_Toc456012542"/>
      <w:r>
        <w:rPr>
          <w:rFonts w:eastAsia="Times New Roman"/>
          <w:b/>
          <w:i/>
          <w:color w:val="500E8D"/>
        </w:rPr>
        <w:t>Vispārējās izglītības programmu licencēšana</w:t>
      </w:r>
      <w:bookmarkEnd w:id="42"/>
      <w:bookmarkEnd w:id="43"/>
    </w:p>
    <w:p w14:paraId="440A059C" w14:textId="77777777" w:rsidR="00087872" w:rsidRDefault="00256B13">
      <w:r>
        <w:rPr>
          <w:sz w:val="22"/>
          <w:szCs w:val="22"/>
        </w:rPr>
        <w:t xml:space="preserve">No 257 licencētajām izglītības programmām 4 bija izglītības iestādes izstrādātas izglītības </w:t>
      </w:r>
      <w:r>
        <w:rPr>
          <w:sz w:val="22"/>
          <w:szCs w:val="22"/>
        </w:rPr>
        <w:t>programmas ar augstākiem plānotajiem rezultātiem valodu jomā (svešvalodās), mākslas jomā (mūzika) un sociālās un pilsoniskās mācību jomā. Licencētas 105 (41%) pirmsskolas izglītības programmas, 139 (54%) – pamatizglītības programmas un 13 (5%) – vispārējās</w:t>
      </w:r>
      <w:r>
        <w:rPr>
          <w:sz w:val="22"/>
          <w:szCs w:val="22"/>
        </w:rPr>
        <w:t xml:space="preserve"> vidējās izglītības programmas (skat. 1. attēlu).</w:t>
      </w:r>
    </w:p>
    <w:p w14:paraId="4F860EBC" w14:textId="77777777" w:rsidR="00087872" w:rsidRDefault="00256B13">
      <w:pPr>
        <w:jc w:val="right"/>
      </w:pPr>
      <w:r>
        <w:rPr>
          <w:sz w:val="22"/>
          <w:szCs w:val="22"/>
        </w:rPr>
        <w:t>1. attēls</w:t>
      </w:r>
    </w:p>
    <w:p w14:paraId="64F0182A" w14:textId="77777777" w:rsidR="00087872" w:rsidRDefault="00256B13">
      <w:pPr>
        <w:jc w:val="center"/>
      </w:pPr>
      <w:r>
        <w:rPr>
          <w:sz w:val="22"/>
          <w:szCs w:val="22"/>
        </w:rPr>
        <w:t>2022. gadā licencētās vispārējās izglītības programmas pa izglītības pakāpēm</w:t>
      </w:r>
    </w:p>
    <w:p w14:paraId="69DBE33D" w14:textId="77777777" w:rsidR="00087872" w:rsidRDefault="00256B13">
      <w:pPr>
        <w:jc w:val="center"/>
      </w:pPr>
      <w:r>
        <w:rPr>
          <w:noProof/>
        </w:rPr>
        <w:drawing>
          <wp:inline distT="0" distB="0" distL="0" distR="0" wp14:anchorId="4490C685" wp14:editId="011CAF91">
            <wp:extent cx="5074920" cy="3322320"/>
            <wp:effectExtent l="0" t="0" r="0"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A98F26" w14:textId="77777777" w:rsidR="00087872" w:rsidRDefault="00087872">
      <w:pPr>
        <w:rPr>
          <w:sz w:val="22"/>
          <w:szCs w:val="22"/>
        </w:rPr>
      </w:pPr>
    </w:p>
    <w:p w14:paraId="0AE5858A" w14:textId="77777777" w:rsidR="00087872" w:rsidRDefault="00256B13">
      <w:r>
        <w:rPr>
          <w:sz w:val="22"/>
          <w:szCs w:val="22"/>
        </w:rPr>
        <w:t xml:space="preserve">Vispārējā izglītībā galvenokārt licencētas Ministru kabineta noteiktajam paraugam atbilstošas izglītības programmas </w:t>
      </w:r>
      <w:r>
        <w:rPr>
          <w:sz w:val="22"/>
          <w:szCs w:val="22"/>
        </w:rPr>
        <w:t>(100% pirmsskolas izglītības programmas, 98% pamatizglītības programmas un 92% vispārējās vidējās izglītības programmas) (skat. 2. attēlu).</w:t>
      </w:r>
    </w:p>
    <w:p w14:paraId="2240C5B8" w14:textId="77777777" w:rsidR="00087872" w:rsidRDefault="00256B13">
      <w:r>
        <w:rPr>
          <w:sz w:val="22"/>
          <w:szCs w:val="22"/>
        </w:rPr>
        <w:t>Izmaiņas licencēto izglītības programmu skaitā un proporcijās pamatā ir saistāmas ar jauno valsts izglītības standar</w:t>
      </w:r>
      <w:r>
        <w:rPr>
          <w:sz w:val="22"/>
          <w:szCs w:val="22"/>
        </w:rPr>
        <w:t>tu spēkā gan pirmsskolas izglītībā, gan pamatizglītībā, gan vispārējā vidējā izglītībā. Pirmsskolas izglītības vadlīnijas pieļauj vienīgi Ministru kabineta noteiktajam paraugam atbilstošu izglītības programmu izstrādi un licencēšanu. Savukārt pamatizglītīb</w:t>
      </w:r>
      <w:r>
        <w:rPr>
          <w:sz w:val="22"/>
          <w:szCs w:val="22"/>
        </w:rPr>
        <w:t xml:space="preserve">ā izglītības iestāde var izstrādāt un iesniegt licencēšanai savu pamatizglītības programmu ar augstākiem plānotajiem rezultātiem. Izstrādātā pamatizglītības programma pirms licencēšanas jāsaskaņo ar Valsts izglītības satura centru (VISC).  </w:t>
      </w:r>
    </w:p>
    <w:p w14:paraId="29EDDB5E" w14:textId="77777777" w:rsidR="00087872" w:rsidRDefault="00256B13">
      <w:pPr>
        <w:jc w:val="right"/>
      </w:pPr>
      <w:r>
        <w:rPr>
          <w:sz w:val="22"/>
          <w:szCs w:val="22"/>
        </w:rPr>
        <w:t>2. attēls</w:t>
      </w:r>
    </w:p>
    <w:p w14:paraId="25056F7B" w14:textId="77777777" w:rsidR="00087872" w:rsidRDefault="00256B13">
      <w:pPr>
        <w:jc w:val="center"/>
      </w:pPr>
      <w:r>
        <w:rPr>
          <w:sz w:val="22"/>
          <w:szCs w:val="22"/>
        </w:rPr>
        <w:t>2022.</w:t>
      </w:r>
      <w:r>
        <w:rPr>
          <w:sz w:val="22"/>
          <w:szCs w:val="22"/>
        </w:rPr>
        <w:t> gadā licencētās vispārējās izglītības programmas – atbilstoši Ministru kabineta noteiktajam paraugam un izglītības iestādes izstrādāto izglītības programmu skaita attiecība pa gadiem (%)</w:t>
      </w:r>
    </w:p>
    <w:p w14:paraId="5C927C5A" w14:textId="77777777" w:rsidR="00087872" w:rsidRDefault="00256B13">
      <w:pPr>
        <w:jc w:val="center"/>
      </w:pPr>
      <w:r>
        <w:rPr>
          <w:noProof/>
        </w:rPr>
        <w:drawing>
          <wp:inline distT="0" distB="0" distL="0" distR="0" wp14:anchorId="4487F995" wp14:editId="2F7EB3E7">
            <wp:extent cx="5257800" cy="3314700"/>
            <wp:effectExtent l="0" t="0" r="0" b="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B96B26" w14:textId="77777777" w:rsidR="00087872" w:rsidRDefault="00256B13">
      <w:r>
        <w:rPr>
          <w:sz w:val="22"/>
          <w:szCs w:val="22"/>
        </w:rPr>
        <w:t>Pārskata periodā noslēdzās Vispārējās izglītības likumā un jaunajo</w:t>
      </w:r>
      <w:r>
        <w:rPr>
          <w:sz w:val="22"/>
          <w:szCs w:val="22"/>
        </w:rPr>
        <w:t>s pamatizglītības un vispārējās vidējās izglītības standartos (attiecīgi Ministru kabineta 2018. gada 27. novembra noteikumi Nr. 747 un Ministru kabineta 2019. gada 3. septembra noteikumi Nr. 416) noteikto grozījumu pakāpeniska ieviešana vispārējās izglītī</w:t>
      </w:r>
      <w:r>
        <w:rPr>
          <w:sz w:val="22"/>
          <w:szCs w:val="22"/>
        </w:rPr>
        <w:t>bas saturā: no 2020. gada 1. septembra – 1., 4., 7. un 10. klasē, 2021. gada 1. septembra – 2., 5., 8. un 11. klasē, no 2022. gada 1. septembra – 3., 6., 9. un 12. klasē. Līdz ar to no 2022./2023. mācību gada izglītības iestādes vispārējās izglītības progr</w:t>
      </w:r>
      <w:r>
        <w:rPr>
          <w:sz w:val="22"/>
          <w:szCs w:val="22"/>
        </w:rPr>
        <w:t>ammas īsteno pēc jaunā valsts standarta. Pamatojoties uz 2018. gada 22. marta Grozījumiem Vispārējās izglītības likumā par vispārējās vidējās izglītības virzienu programmu pakāpenisku slēgšanu no 2022. gada 31. augusta un Grozījumiem Ministru kabineta 2017</w:t>
      </w:r>
      <w:r>
        <w:rPr>
          <w:sz w:val="22"/>
          <w:szCs w:val="22"/>
        </w:rPr>
        <w:t>. gada 13. jūnija noteikumos Nr. 322 “Noteikumi par Latvijas izglītības klasifikāciju”, pārskata periodā tika licencētas vispārējās vidējās izglītības programmas (programmas kods 31016011), kas neietver norādi uz virzienu. Attiecīgi tika izvērtēti un grozī</w:t>
      </w:r>
      <w:r>
        <w:rPr>
          <w:sz w:val="22"/>
          <w:szCs w:val="22"/>
        </w:rPr>
        <w:t xml:space="preserve">ti izglītības iestāžu VIIS aktualizētie mācību priekšmetu un mācību kursu plāni. </w:t>
      </w:r>
    </w:p>
    <w:p w14:paraId="36508492" w14:textId="77777777" w:rsidR="00087872" w:rsidRDefault="00256B13">
      <w:r>
        <w:rPr>
          <w:sz w:val="22"/>
          <w:szCs w:val="22"/>
        </w:rPr>
        <w:t>Saistībā ar jauno pamatizglītības un vispārējās vidējās izglītības valsts standartu ieviešanu spēku ir zaudējušas 419 pamatizglītības un vispārējās vidējās izglītības program</w:t>
      </w:r>
      <w:r>
        <w:rPr>
          <w:sz w:val="22"/>
          <w:szCs w:val="22"/>
        </w:rPr>
        <w:t>mas un 2022. gada noslēgumā aktīvas ir 3805 vispārējās izglītības programmas. Pārskata periodā VIIS izdarīti 1253 grozījumi vispārējās izglītības programmās, lēmumi par atteikumu licencēt vispārējās izglītības programmas netika pieņemti.</w:t>
      </w:r>
    </w:p>
    <w:p w14:paraId="49FAA0F1" w14:textId="77777777" w:rsidR="00087872" w:rsidRDefault="00256B13">
      <w:r>
        <w:rPr>
          <w:sz w:val="22"/>
          <w:szCs w:val="22"/>
        </w:rPr>
        <w:t>Pārskata periodā i</w:t>
      </w:r>
      <w:r>
        <w:rPr>
          <w:sz w:val="22"/>
          <w:szCs w:val="22"/>
        </w:rPr>
        <w:t>r sagatavots lēmums par atļaujas izsniegšanu starptautiskas izglītības programmas īstenošanai izglītības iestādē “Sabiedrība ar ierobežotu atbildību Starptautiskā skola Premjers”. Sadarbībā ar Izglītības iestāžu reģistru izskatīti iesniegumi par starptauti</w:t>
      </w:r>
      <w:r>
        <w:rPr>
          <w:sz w:val="22"/>
          <w:szCs w:val="22"/>
        </w:rPr>
        <w:t xml:space="preserve">sko izglītības iestāžu reģistrēšanu, sākotnējās atļaujas izsniegšanu Latvijas mācības īstenošanai. </w:t>
      </w:r>
    </w:p>
    <w:p w14:paraId="2EFD1777" w14:textId="77777777" w:rsidR="00087872" w:rsidRDefault="00087872">
      <w:pPr>
        <w:spacing w:after="0"/>
        <w:rPr>
          <w:sz w:val="22"/>
          <w:szCs w:val="22"/>
        </w:rPr>
      </w:pPr>
    </w:p>
    <w:p w14:paraId="3E7A08DF" w14:textId="77777777" w:rsidR="00087872" w:rsidRDefault="00256B13">
      <w:bookmarkStart w:id="44" w:name="_Toc456011955"/>
      <w:bookmarkStart w:id="45" w:name="_Toc456012543"/>
      <w:r>
        <w:rPr>
          <w:rFonts w:eastAsia="Times New Roman"/>
          <w:b/>
          <w:i/>
          <w:color w:val="500E8D"/>
        </w:rPr>
        <w:t>Profesionālās izglītības programmu licencēšana</w:t>
      </w:r>
      <w:bookmarkEnd w:id="44"/>
      <w:bookmarkEnd w:id="45"/>
      <w:r>
        <w:rPr>
          <w:rFonts w:eastAsia="Times New Roman"/>
          <w:b/>
          <w:i/>
          <w:color w:val="500E8D"/>
        </w:rPr>
        <w:t xml:space="preserve"> </w:t>
      </w:r>
    </w:p>
    <w:p w14:paraId="6AB32847" w14:textId="77777777" w:rsidR="00087872" w:rsidRDefault="00256B13">
      <w:r>
        <w:rPr>
          <w:sz w:val="22"/>
          <w:szCs w:val="22"/>
        </w:rPr>
        <w:t xml:space="preserve">2022. gadā ir licencētas 704 jaunas profesionālās izglītības programmas 99 dažādu profesionālo </w:t>
      </w:r>
      <w:r>
        <w:rPr>
          <w:sz w:val="22"/>
          <w:szCs w:val="22"/>
        </w:rPr>
        <w:t>kvalifikāciju ieguvei (skat. 7. tabulu). Salīdzinot ar iepriekšējo pārskata periodu, kopējais licencēto profesionālās izglītības programmu skaits ir samazinājies (2021. gadā – 1140), kas daļēji izskaidrojams ar pāreju uz modulāro izglītības programmu īsten</w:t>
      </w:r>
      <w:r>
        <w:rPr>
          <w:sz w:val="22"/>
          <w:szCs w:val="22"/>
        </w:rPr>
        <w:t>ošanu un to, ka privātās izglītības iestādes dalībai Valsts izglītības attīstības aģentūras īstenotajā ESF projektā Nr.8.4.1.0/16/1/001 ”Nodarbināto personu profesionālās kompetences pilnveide” licencēja mazāk jaunu programmu nekā iepriekšējos gados.</w:t>
      </w:r>
    </w:p>
    <w:p w14:paraId="761D20C1" w14:textId="77777777" w:rsidR="00087872" w:rsidRDefault="00256B13">
      <w:r>
        <w:rPr>
          <w:sz w:val="22"/>
          <w:szCs w:val="22"/>
        </w:rPr>
        <w:t>Lai e</w:t>
      </w:r>
      <w:r>
        <w:rPr>
          <w:sz w:val="22"/>
          <w:szCs w:val="22"/>
        </w:rPr>
        <w:t>sošo profesionālās izglītības programmu īstenošana atbilstu normatīvajos aktos noteiktajām prasībām, VIIS izdarīti 920 dažādi grozījumi izglītības programmu datos (izglītības programmu kodu maiņa, piešķiramo kvalifikāciju nosaukumu maiņa, programmu īstenoš</w:t>
      </w:r>
      <w:r>
        <w:rPr>
          <w:sz w:val="22"/>
          <w:szCs w:val="22"/>
        </w:rPr>
        <w:t>anas vietu adrešu /pievienošana, maiņa, papildināšana, izglītības programmu pārņemšana no citas izglītības iestādes pēc profesionālās izglītības iestāžu tipa (statusa) maiņas, grozījumi izglītības programmu mācību plānos un saturā). 2022. gadā ir izstrādāt</w:t>
      </w:r>
      <w:r>
        <w:rPr>
          <w:sz w:val="22"/>
          <w:szCs w:val="22"/>
        </w:rPr>
        <w:t xml:space="preserve">as un licencētas 235 modulārās profesionālās izglītības programmas, kuras īsteno 50 profesionālās izglītības iestādes, t.sk. 17 privātās izglītības iestādes un 3 pašvaldību izglītības iestādes.  </w:t>
      </w:r>
    </w:p>
    <w:p w14:paraId="567E7AB5" w14:textId="77777777" w:rsidR="00087872" w:rsidRDefault="00256B13">
      <w:r>
        <w:rPr>
          <w:sz w:val="22"/>
          <w:szCs w:val="22"/>
        </w:rPr>
        <w:t>Pārskata periodā atbilstoši Nozaru kvalifikāciju struktūrām,</w:t>
      </w:r>
      <w:r>
        <w:rPr>
          <w:sz w:val="22"/>
          <w:szCs w:val="22"/>
        </w:rPr>
        <w:t xml:space="preserve"> aktualizētajiem profesiju standartiem un profesionālās kvalifikācijas prasībām turpinājās profesionālās izglītības satura reforma, kas vērsta uz izglītojamo prasmju atbilstību darba tirgus prasībām. 2022. gadā ir licencētas 108 profesionālās izglītības pr</w:t>
      </w:r>
      <w:r>
        <w:rPr>
          <w:sz w:val="22"/>
          <w:szCs w:val="22"/>
        </w:rPr>
        <w:t>ogrammas īstenošanai darba vidē balstītu (DVB) mācību formā, t.sk. 81 sākotnējās profesionālās izglītības programma un 27 profesionālās tālākizglītības programmas 63 dažādu profesionālo kvalifikāciju ieguvei (salīdzinājumā ar iepriekšēju periodu, arī jaunā</w:t>
      </w:r>
      <w:r>
        <w:rPr>
          <w:sz w:val="22"/>
          <w:szCs w:val="22"/>
        </w:rPr>
        <w:t xml:space="preserve">s kvalifikācijās, piemēram: arhitektūras tehniķis, atjaunojamās enerģētikas tehniķis, augkopības tehniķis, augkopis, ēku </w:t>
      </w:r>
      <w:proofErr w:type="spellStart"/>
      <w:r>
        <w:rPr>
          <w:sz w:val="22"/>
          <w:szCs w:val="22"/>
        </w:rPr>
        <w:t>būvtehniķis</w:t>
      </w:r>
      <w:proofErr w:type="spellEnd"/>
      <w:r>
        <w:rPr>
          <w:sz w:val="22"/>
          <w:szCs w:val="22"/>
        </w:rPr>
        <w:t xml:space="preserve">, datorizētu kokapstrādes iekārtu operators u.c.). </w:t>
      </w:r>
    </w:p>
    <w:p w14:paraId="4D364F7D" w14:textId="77777777" w:rsidR="00087872" w:rsidRDefault="00256B13">
      <w:pPr>
        <w:jc w:val="right"/>
      </w:pPr>
      <w:r>
        <w:rPr>
          <w:sz w:val="22"/>
          <w:szCs w:val="22"/>
        </w:rPr>
        <w:t>7. tabula</w:t>
      </w:r>
    </w:p>
    <w:p w14:paraId="3794512B" w14:textId="77777777" w:rsidR="00087872" w:rsidRDefault="00256B13">
      <w:pPr>
        <w:spacing w:line="259" w:lineRule="auto"/>
        <w:jc w:val="center"/>
      </w:pPr>
      <w:r>
        <w:rPr>
          <w:i/>
          <w:sz w:val="22"/>
          <w:szCs w:val="22"/>
        </w:rPr>
        <w:t>2022. gadā licencētas profesionālās izglītības programmas</w:t>
      </w:r>
    </w:p>
    <w:tbl>
      <w:tblPr>
        <w:tblStyle w:val="TableGrid1111"/>
        <w:tblW w:w="9356" w:type="dxa"/>
        <w:tblInd w:w="-5" w:type="dxa"/>
        <w:tblLayout w:type="fixed"/>
        <w:tblLook w:val="04A0" w:firstRow="1" w:lastRow="0" w:firstColumn="1" w:lastColumn="0" w:noHBand="0" w:noVBand="1"/>
      </w:tblPr>
      <w:tblGrid>
        <w:gridCol w:w="3257"/>
        <w:gridCol w:w="1421"/>
        <w:gridCol w:w="1133"/>
        <w:gridCol w:w="2123"/>
        <w:gridCol w:w="1422"/>
      </w:tblGrid>
      <w:tr w:rsidR="00087872" w14:paraId="6FAF3C81" w14:textId="77777777">
        <w:trPr>
          <w:trHeight w:val="50"/>
        </w:trPr>
        <w:tc>
          <w:tcPr>
            <w:tcW w:w="3257" w:type="dxa"/>
            <w:vMerge w:val="restart"/>
          </w:tcPr>
          <w:p w14:paraId="4FFAA188" w14:textId="77777777" w:rsidR="00087872" w:rsidRDefault="00256B13">
            <w:pPr>
              <w:widowControl w:val="0"/>
              <w:spacing w:after="0" w:line="240" w:lineRule="auto"/>
              <w:jc w:val="left"/>
              <w:rPr>
                <w:sz w:val="22"/>
                <w:szCs w:val="22"/>
              </w:rPr>
            </w:pPr>
            <w:r>
              <w:rPr>
                <w:sz w:val="22"/>
                <w:szCs w:val="22"/>
              </w:rPr>
              <w:t>Lice</w:t>
            </w:r>
            <w:r>
              <w:rPr>
                <w:sz w:val="22"/>
                <w:szCs w:val="22"/>
              </w:rPr>
              <w:t xml:space="preserve">ncētas programmas </w:t>
            </w:r>
          </w:p>
          <w:p w14:paraId="5D13C01C" w14:textId="77777777" w:rsidR="00087872" w:rsidRDefault="00256B13">
            <w:pPr>
              <w:widowControl w:val="0"/>
              <w:spacing w:after="0" w:line="240" w:lineRule="auto"/>
              <w:jc w:val="left"/>
              <w:rPr>
                <w:sz w:val="22"/>
                <w:szCs w:val="22"/>
              </w:rPr>
            </w:pPr>
            <w:r>
              <w:rPr>
                <w:sz w:val="22"/>
                <w:szCs w:val="22"/>
              </w:rPr>
              <w:t>(veidi)</w:t>
            </w:r>
          </w:p>
        </w:tc>
        <w:tc>
          <w:tcPr>
            <w:tcW w:w="1421" w:type="dxa"/>
            <w:vMerge w:val="restart"/>
          </w:tcPr>
          <w:p w14:paraId="59BDECFA" w14:textId="77777777" w:rsidR="00087872" w:rsidRDefault="00256B13">
            <w:pPr>
              <w:widowControl w:val="0"/>
              <w:spacing w:after="0" w:line="240" w:lineRule="auto"/>
              <w:jc w:val="left"/>
              <w:rPr>
                <w:sz w:val="22"/>
                <w:szCs w:val="22"/>
              </w:rPr>
            </w:pPr>
            <w:r>
              <w:rPr>
                <w:sz w:val="22"/>
                <w:szCs w:val="22"/>
              </w:rPr>
              <w:t>Licencētas</w:t>
            </w:r>
          </w:p>
          <w:p w14:paraId="663927DB" w14:textId="77777777" w:rsidR="00087872" w:rsidRDefault="00256B13">
            <w:pPr>
              <w:widowControl w:val="0"/>
              <w:spacing w:after="0" w:line="240" w:lineRule="auto"/>
              <w:jc w:val="left"/>
              <w:rPr>
                <w:sz w:val="22"/>
                <w:szCs w:val="22"/>
              </w:rPr>
            </w:pPr>
            <w:r>
              <w:rPr>
                <w:sz w:val="22"/>
                <w:szCs w:val="22"/>
              </w:rPr>
              <w:t xml:space="preserve">programmas </w:t>
            </w:r>
          </w:p>
          <w:p w14:paraId="39BAF21F" w14:textId="77777777" w:rsidR="00087872" w:rsidRDefault="00087872">
            <w:pPr>
              <w:widowControl w:val="0"/>
              <w:spacing w:after="0" w:line="240" w:lineRule="auto"/>
              <w:jc w:val="left"/>
              <w:rPr>
                <w:b/>
                <w:sz w:val="22"/>
                <w:szCs w:val="22"/>
              </w:rPr>
            </w:pPr>
          </w:p>
        </w:tc>
        <w:tc>
          <w:tcPr>
            <w:tcW w:w="4678" w:type="dxa"/>
            <w:gridSpan w:val="3"/>
            <w:tcBorders>
              <w:right w:val="single" w:sz="12" w:space="0" w:color="000000"/>
            </w:tcBorders>
          </w:tcPr>
          <w:p w14:paraId="53E768E0" w14:textId="77777777" w:rsidR="00087872" w:rsidRDefault="00256B13">
            <w:pPr>
              <w:widowControl w:val="0"/>
              <w:spacing w:after="0" w:line="240" w:lineRule="auto"/>
              <w:jc w:val="left"/>
              <w:rPr>
                <w:sz w:val="22"/>
                <w:szCs w:val="22"/>
              </w:rPr>
            </w:pPr>
            <w:r>
              <w:rPr>
                <w:sz w:val="22"/>
                <w:szCs w:val="22"/>
              </w:rPr>
              <w:t>No tām</w:t>
            </w:r>
          </w:p>
        </w:tc>
      </w:tr>
      <w:tr w:rsidR="00087872" w14:paraId="6B01A231" w14:textId="77777777">
        <w:trPr>
          <w:cantSplit/>
          <w:trHeight w:val="1076"/>
        </w:trPr>
        <w:tc>
          <w:tcPr>
            <w:tcW w:w="3257" w:type="dxa"/>
            <w:vMerge/>
            <w:vAlign w:val="center"/>
          </w:tcPr>
          <w:p w14:paraId="30B1069E" w14:textId="77777777" w:rsidR="00087872" w:rsidRDefault="00087872">
            <w:pPr>
              <w:widowControl w:val="0"/>
              <w:spacing w:after="0" w:line="240" w:lineRule="auto"/>
              <w:jc w:val="left"/>
              <w:rPr>
                <w:b/>
                <w:sz w:val="22"/>
                <w:szCs w:val="22"/>
              </w:rPr>
            </w:pPr>
          </w:p>
        </w:tc>
        <w:tc>
          <w:tcPr>
            <w:tcW w:w="1421" w:type="dxa"/>
            <w:vMerge/>
            <w:vAlign w:val="center"/>
          </w:tcPr>
          <w:p w14:paraId="1257A8A7" w14:textId="77777777" w:rsidR="00087872" w:rsidRDefault="00087872">
            <w:pPr>
              <w:widowControl w:val="0"/>
              <w:spacing w:after="0" w:line="240" w:lineRule="auto"/>
              <w:jc w:val="left"/>
              <w:rPr>
                <w:b/>
                <w:sz w:val="22"/>
                <w:szCs w:val="22"/>
              </w:rPr>
            </w:pPr>
          </w:p>
        </w:tc>
        <w:tc>
          <w:tcPr>
            <w:tcW w:w="1133" w:type="dxa"/>
          </w:tcPr>
          <w:p w14:paraId="47EDCC8F" w14:textId="77777777" w:rsidR="00087872" w:rsidRDefault="00256B13">
            <w:pPr>
              <w:widowControl w:val="0"/>
              <w:spacing w:after="0" w:line="240" w:lineRule="auto"/>
              <w:jc w:val="left"/>
              <w:rPr>
                <w:sz w:val="22"/>
                <w:szCs w:val="22"/>
              </w:rPr>
            </w:pPr>
            <w:r>
              <w:rPr>
                <w:sz w:val="22"/>
                <w:szCs w:val="22"/>
              </w:rPr>
              <w:t>Ar DVB mācībām</w:t>
            </w:r>
          </w:p>
        </w:tc>
        <w:tc>
          <w:tcPr>
            <w:tcW w:w="2123" w:type="dxa"/>
          </w:tcPr>
          <w:p w14:paraId="08CD6524" w14:textId="77777777" w:rsidR="00087872" w:rsidRDefault="00256B13">
            <w:pPr>
              <w:widowControl w:val="0"/>
              <w:spacing w:after="0" w:line="240" w:lineRule="auto"/>
              <w:jc w:val="left"/>
              <w:rPr>
                <w:sz w:val="22"/>
                <w:szCs w:val="22"/>
              </w:rPr>
            </w:pPr>
            <w:r>
              <w:rPr>
                <w:sz w:val="22"/>
                <w:szCs w:val="22"/>
              </w:rPr>
              <w:t>Modulārās</w:t>
            </w:r>
          </w:p>
          <w:p w14:paraId="4AADCBBA" w14:textId="77777777" w:rsidR="00087872" w:rsidRDefault="00256B13">
            <w:pPr>
              <w:widowControl w:val="0"/>
              <w:spacing w:after="0" w:line="240" w:lineRule="auto"/>
              <w:jc w:val="left"/>
              <w:rPr>
                <w:sz w:val="22"/>
                <w:szCs w:val="22"/>
              </w:rPr>
            </w:pPr>
            <w:r>
              <w:rPr>
                <w:sz w:val="22"/>
                <w:szCs w:val="22"/>
              </w:rPr>
              <w:t xml:space="preserve">programmas/ </w:t>
            </w:r>
            <w:r>
              <w:rPr>
                <w:i/>
                <w:iCs/>
                <w:sz w:val="22"/>
                <w:szCs w:val="22"/>
              </w:rPr>
              <w:t>t.sk. pēc IZM apstiprinātā parauga</w:t>
            </w:r>
          </w:p>
        </w:tc>
        <w:tc>
          <w:tcPr>
            <w:tcW w:w="1422" w:type="dxa"/>
            <w:tcBorders>
              <w:right w:val="single" w:sz="12" w:space="0" w:color="000000"/>
            </w:tcBorders>
          </w:tcPr>
          <w:p w14:paraId="086D7A83" w14:textId="77777777" w:rsidR="00087872" w:rsidRDefault="00256B13">
            <w:pPr>
              <w:widowControl w:val="0"/>
              <w:spacing w:after="0" w:line="240" w:lineRule="auto"/>
              <w:jc w:val="left"/>
              <w:rPr>
                <w:sz w:val="22"/>
                <w:szCs w:val="22"/>
              </w:rPr>
            </w:pPr>
            <w:r>
              <w:rPr>
                <w:sz w:val="22"/>
                <w:szCs w:val="22"/>
              </w:rPr>
              <w:t>Neklātienes programmas</w:t>
            </w:r>
          </w:p>
        </w:tc>
      </w:tr>
      <w:tr w:rsidR="00087872" w14:paraId="1E8C7BB5" w14:textId="77777777">
        <w:trPr>
          <w:trHeight w:val="402"/>
        </w:trPr>
        <w:tc>
          <w:tcPr>
            <w:tcW w:w="3257" w:type="dxa"/>
          </w:tcPr>
          <w:p w14:paraId="38B83141" w14:textId="77777777" w:rsidR="00087872" w:rsidRDefault="00256B13">
            <w:pPr>
              <w:widowControl w:val="0"/>
              <w:spacing w:after="0" w:line="240" w:lineRule="auto"/>
              <w:jc w:val="left"/>
              <w:rPr>
                <w:sz w:val="22"/>
                <w:szCs w:val="22"/>
              </w:rPr>
            </w:pPr>
            <w:r>
              <w:rPr>
                <w:sz w:val="22"/>
                <w:szCs w:val="22"/>
              </w:rPr>
              <w:t xml:space="preserve">Sākotnējā profesionālā izglītība (profesionālās vidējās izglītības programmas, arodizglītības programmas, profesionālās pamatizglītības programmas) </w:t>
            </w:r>
          </w:p>
        </w:tc>
        <w:tc>
          <w:tcPr>
            <w:tcW w:w="1421" w:type="dxa"/>
          </w:tcPr>
          <w:p w14:paraId="0D466368" w14:textId="77777777" w:rsidR="00087872" w:rsidRDefault="00256B13">
            <w:pPr>
              <w:widowControl w:val="0"/>
              <w:spacing w:after="0" w:line="240" w:lineRule="auto"/>
              <w:jc w:val="left"/>
              <w:rPr>
                <w:sz w:val="22"/>
                <w:szCs w:val="22"/>
              </w:rPr>
            </w:pPr>
            <w:r>
              <w:rPr>
                <w:sz w:val="22"/>
                <w:szCs w:val="22"/>
              </w:rPr>
              <w:t>149</w:t>
            </w:r>
          </w:p>
          <w:p w14:paraId="6060499F" w14:textId="77777777" w:rsidR="00087872" w:rsidRDefault="00087872">
            <w:pPr>
              <w:widowControl w:val="0"/>
              <w:spacing w:after="0" w:line="240" w:lineRule="auto"/>
              <w:jc w:val="left"/>
              <w:rPr>
                <w:sz w:val="22"/>
                <w:szCs w:val="22"/>
              </w:rPr>
            </w:pPr>
          </w:p>
        </w:tc>
        <w:tc>
          <w:tcPr>
            <w:tcW w:w="1133" w:type="dxa"/>
          </w:tcPr>
          <w:p w14:paraId="68F5457B" w14:textId="77777777" w:rsidR="00087872" w:rsidRDefault="00256B13">
            <w:pPr>
              <w:widowControl w:val="0"/>
              <w:spacing w:after="0" w:line="240" w:lineRule="auto"/>
              <w:jc w:val="left"/>
              <w:rPr>
                <w:sz w:val="22"/>
                <w:szCs w:val="22"/>
              </w:rPr>
            </w:pPr>
            <w:r>
              <w:rPr>
                <w:sz w:val="22"/>
                <w:szCs w:val="22"/>
              </w:rPr>
              <w:t>81</w:t>
            </w:r>
          </w:p>
        </w:tc>
        <w:tc>
          <w:tcPr>
            <w:tcW w:w="2123" w:type="dxa"/>
          </w:tcPr>
          <w:p w14:paraId="24776F07" w14:textId="77777777" w:rsidR="00087872" w:rsidRDefault="00256B13">
            <w:pPr>
              <w:widowControl w:val="0"/>
              <w:spacing w:after="0" w:line="240" w:lineRule="auto"/>
              <w:jc w:val="left"/>
              <w:rPr>
                <w:sz w:val="22"/>
                <w:szCs w:val="22"/>
              </w:rPr>
            </w:pPr>
            <w:r>
              <w:rPr>
                <w:sz w:val="22"/>
                <w:szCs w:val="22"/>
              </w:rPr>
              <w:t xml:space="preserve">123 / </w:t>
            </w:r>
            <w:r>
              <w:rPr>
                <w:i/>
                <w:iCs/>
                <w:sz w:val="22"/>
                <w:szCs w:val="22"/>
              </w:rPr>
              <w:t>109</w:t>
            </w:r>
          </w:p>
        </w:tc>
        <w:tc>
          <w:tcPr>
            <w:tcW w:w="1422" w:type="dxa"/>
            <w:tcBorders>
              <w:right w:val="single" w:sz="12" w:space="0" w:color="000000"/>
            </w:tcBorders>
          </w:tcPr>
          <w:p w14:paraId="14EB363D" w14:textId="77777777" w:rsidR="00087872" w:rsidRDefault="00256B13">
            <w:pPr>
              <w:widowControl w:val="0"/>
              <w:spacing w:after="0" w:line="240" w:lineRule="auto"/>
              <w:jc w:val="left"/>
              <w:rPr>
                <w:sz w:val="22"/>
                <w:szCs w:val="22"/>
              </w:rPr>
            </w:pPr>
            <w:r>
              <w:rPr>
                <w:sz w:val="22"/>
                <w:szCs w:val="22"/>
              </w:rPr>
              <w:t>2</w:t>
            </w:r>
          </w:p>
        </w:tc>
      </w:tr>
      <w:tr w:rsidR="00087872" w14:paraId="3A5EC1C0" w14:textId="77777777">
        <w:trPr>
          <w:trHeight w:val="349"/>
        </w:trPr>
        <w:tc>
          <w:tcPr>
            <w:tcW w:w="3257" w:type="dxa"/>
          </w:tcPr>
          <w:p w14:paraId="0E72956A" w14:textId="77777777" w:rsidR="00087872" w:rsidRDefault="00256B13">
            <w:pPr>
              <w:widowControl w:val="0"/>
              <w:spacing w:after="0" w:line="240" w:lineRule="auto"/>
              <w:jc w:val="left"/>
              <w:rPr>
                <w:sz w:val="22"/>
                <w:szCs w:val="22"/>
              </w:rPr>
            </w:pPr>
            <w:r>
              <w:rPr>
                <w:sz w:val="22"/>
                <w:szCs w:val="22"/>
              </w:rPr>
              <w:t>Profesionālā tālākizglītība</w:t>
            </w:r>
          </w:p>
        </w:tc>
        <w:tc>
          <w:tcPr>
            <w:tcW w:w="1421" w:type="dxa"/>
          </w:tcPr>
          <w:p w14:paraId="5CDAC1FF" w14:textId="77777777" w:rsidR="00087872" w:rsidRDefault="00256B13">
            <w:pPr>
              <w:widowControl w:val="0"/>
              <w:spacing w:after="0" w:line="240" w:lineRule="auto"/>
              <w:jc w:val="left"/>
              <w:rPr>
                <w:sz w:val="22"/>
                <w:szCs w:val="22"/>
              </w:rPr>
            </w:pPr>
            <w:r>
              <w:rPr>
                <w:sz w:val="22"/>
                <w:szCs w:val="22"/>
              </w:rPr>
              <w:t>163</w:t>
            </w:r>
          </w:p>
        </w:tc>
        <w:tc>
          <w:tcPr>
            <w:tcW w:w="1133" w:type="dxa"/>
          </w:tcPr>
          <w:p w14:paraId="4F514035" w14:textId="77777777" w:rsidR="00087872" w:rsidRDefault="00256B13">
            <w:pPr>
              <w:widowControl w:val="0"/>
              <w:spacing w:after="0" w:line="240" w:lineRule="auto"/>
              <w:jc w:val="left"/>
              <w:rPr>
                <w:sz w:val="22"/>
                <w:szCs w:val="22"/>
              </w:rPr>
            </w:pPr>
            <w:r>
              <w:rPr>
                <w:sz w:val="22"/>
                <w:szCs w:val="22"/>
              </w:rPr>
              <w:t>27</w:t>
            </w:r>
          </w:p>
        </w:tc>
        <w:tc>
          <w:tcPr>
            <w:tcW w:w="2123" w:type="dxa"/>
          </w:tcPr>
          <w:p w14:paraId="7B1912A8" w14:textId="77777777" w:rsidR="00087872" w:rsidRDefault="00256B13">
            <w:pPr>
              <w:widowControl w:val="0"/>
              <w:spacing w:after="0" w:line="240" w:lineRule="auto"/>
              <w:jc w:val="left"/>
              <w:rPr>
                <w:sz w:val="22"/>
                <w:szCs w:val="22"/>
              </w:rPr>
            </w:pPr>
            <w:r>
              <w:rPr>
                <w:sz w:val="22"/>
                <w:szCs w:val="22"/>
              </w:rPr>
              <w:t xml:space="preserve">109 / </w:t>
            </w:r>
            <w:r>
              <w:rPr>
                <w:i/>
                <w:iCs/>
                <w:sz w:val="22"/>
                <w:szCs w:val="22"/>
              </w:rPr>
              <w:t>54</w:t>
            </w:r>
          </w:p>
        </w:tc>
        <w:tc>
          <w:tcPr>
            <w:tcW w:w="1422" w:type="dxa"/>
            <w:tcBorders>
              <w:right w:val="single" w:sz="12" w:space="0" w:color="000000"/>
            </w:tcBorders>
          </w:tcPr>
          <w:p w14:paraId="0BEDBC55" w14:textId="77777777" w:rsidR="00087872" w:rsidRDefault="00256B13">
            <w:pPr>
              <w:widowControl w:val="0"/>
              <w:spacing w:after="0" w:line="240" w:lineRule="auto"/>
              <w:jc w:val="left"/>
              <w:rPr>
                <w:sz w:val="22"/>
                <w:szCs w:val="22"/>
              </w:rPr>
            </w:pPr>
            <w:r>
              <w:rPr>
                <w:sz w:val="22"/>
                <w:szCs w:val="22"/>
              </w:rPr>
              <w:t>43</w:t>
            </w:r>
          </w:p>
        </w:tc>
      </w:tr>
      <w:tr w:rsidR="00087872" w14:paraId="2B04C260" w14:textId="77777777">
        <w:tc>
          <w:tcPr>
            <w:tcW w:w="3257" w:type="dxa"/>
          </w:tcPr>
          <w:p w14:paraId="603BB76B" w14:textId="77777777" w:rsidR="00087872" w:rsidRDefault="00256B13">
            <w:pPr>
              <w:widowControl w:val="0"/>
              <w:spacing w:after="0" w:line="240" w:lineRule="auto"/>
              <w:jc w:val="left"/>
              <w:rPr>
                <w:sz w:val="22"/>
                <w:szCs w:val="22"/>
              </w:rPr>
            </w:pPr>
            <w:r>
              <w:rPr>
                <w:sz w:val="22"/>
                <w:szCs w:val="22"/>
              </w:rPr>
              <w:t xml:space="preserve">Profesionālās pilnveides </w:t>
            </w:r>
          </w:p>
          <w:p w14:paraId="6DF86773" w14:textId="77777777" w:rsidR="00087872" w:rsidRDefault="00256B13">
            <w:pPr>
              <w:widowControl w:val="0"/>
              <w:spacing w:after="0" w:line="240" w:lineRule="auto"/>
              <w:jc w:val="left"/>
              <w:rPr>
                <w:sz w:val="22"/>
                <w:szCs w:val="22"/>
              </w:rPr>
            </w:pPr>
            <w:r>
              <w:rPr>
                <w:sz w:val="22"/>
                <w:szCs w:val="22"/>
              </w:rPr>
              <w:t xml:space="preserve">izglītība </w:t>
            </w:r>
          </w:p>
        </w:tc>
        <w:tc>
          <w:tcPr>
            <w:tcW w:w="1421" w:type="dxa"/>
          </w:tcPr>
          <w:p w14:paraId="6DA58FF9" w14:textId="77777777" w:rsidR="00087872" w:rsidRDefault="00256B13">
            <w:pPr>
              <w:widowControl w:val="0"/>
              <w:spacing w:after="0" w:line="240" w:lineRule="auto"/>
              <w:jc w:val="left"/>
              <w:rPr>
                <w:sz w:val="22"/>
                <w:szCs w:val="22"/>
              </w:rPr>
            </w:pPr>
            <w:r>
              <w:rPr>
                <w:sz w:val="22"/>
                <w:szCs w:val="22"/>
              </w:rPr>
              <w:t>318</w:t>
            </w:r>
          </w:p>
        </w:tc>
        <w:tc>
          <w:tcPr>
            <w:tcW w:w="1133" w:type="dxa"/>
          </w:tcPr>
          <w:p w14:paraId="03914490" w14:textId="77777777" w:rsidR="00087872" w:rsidRDefault="00256B13">
            <w:pPr>
              <w:widowControl w:val="0"/>
              <w:spacing w:after="0" w:line="240" w:lineRule="auto"/>
              <w:jc w:val="left"/>
              <w:rPr>
                <w:sz w:val="22"/>
                <w:szCs w:val="22"/>
              </w:rPr>
            </w:pPr>
            <w:r>
              <w:rPr>
                <w:sz w:val="22"/>
                <w:szCs w:val="22"/>
              </w:rPr>
              <w:t>-</w:t>
            </w:r>
          </w:p>
        </w:tc>
        <w:tc>
          <w:tcPr>
            <w:tcW w:w="2123" w:type="dxa"/>
          </w:tcPr>
          <w:p w14:paraId="76FFFA96" w14:textId="77777777" w:rsidR="00087872" w:rsidRDefault="00256B13">
            <w:pPr>
              <w:widowControl w:val="0"/>
              <w:spacing w:after="0" w:line="240" w:lineRule="auto"/>
              <w:jc w:val="left"/>
              <w:rPr>
                <w:sz w:val="22"/>
                <w:szCs w:val="22"/>
              </w:rPr>
            </w:pPr>
            <w:r>
              <w:rPr>
                <w:sz w:val="22"/>
                <w:szCs w:val="22"/>
              </w:rPr>
              <w:t>3</w:t>
            </w:r>
          </w:p>
        </w:tc>
        <w:tc>
          <w:tcPr>
            <w:tcW w:w="1422" w:type="dxa"/>
            <w:tcBorders>
              <w:right w:val="single" w:sz="12" w:space="0" w:color="000000"/>
            </w:tcBorders>
          </w:tcPr>
          <w:p w14:paraId="553D481F" w14:textId="77777777" w:rsidR="00087872" w:rsidRDefault="00256B13">
            <w:pPr>
              <w:widowControl w:val="0"/>
              <w:spacing w:after="0" w:line="240" w:lineRule="auto"/>
              <w:jc w:val="left"/>
              <w:rPr>
                <w:sz w:val="22"/>
                <w:szCs w:val="22"/>
              </w:rPr>
            </w:pPr>
            <w:r>
              <w:rPr>
                <w:sz w:val="22"/>
                <w:szCs w:val="22"/>
              </w:rPr>
              <w:t>158</w:t>
            </w:r>
          </w:p>
        </w:tc>
      </w:tr>
      <w:tr w:rsidR="00087872" w14:paraId="48D07FCA" w14:textId="77777777">
        <w:tc>
          <w:tcPr>
            <w:tcW w:w="3257" w:type="dxa"/>
          </w:tcPr>
          <w:p w14:paraId="70A1B30A" w14:textId="77777777" w:rsidR="00087872" w:rsidRDefault="00256B13">
            <w:pPr>
              <w:widowControl w:val="0"/>
              <w:spacing w:after="0" w:line="240" w:lineRule="auto"/>
              <w:jc w:val="left"/>
              <w:rPr>
                <w:sz w:val="22"/>
                <w:szCs w:val="22"/>
              </w:rPr>
            </w:pPr>
            <w:r>
              <w:rPr>
                <w:sz w:val="22"/>
                <w:szCs w:val="22"/>
              </w:rPr>
              <w:t xml:space="preserve">Profesionālās ievirzes izglītība </w:t>
            </w:r>
          </w:p>
          <w:p w14:paraId="065E827E" w14:textId="77777777" w:rsidR="00087872" w:rsidRDefault="00256B13">
            <w:pPr>
              <w:widowControl w:val="0"/>
              <w:spacing w:after="0" w:line="240" w:lineRule="auto"/>
              <w:jc w:val="left"/>
              <w:rPr>
                <w:sz w:val="22"/>
                <w:szCs w:val="22"/>
              </w:rPr>
            </w:pPr>
            <w:r>
              <w:rPr>
                <w:sz w:val="22"/>
                <w:szCs w:val="22"/>
              </w:rPr>
              <w:t>(mūzika, māksla, deja un sports)</w:t>
            </w:r>
          </w:p>
        </w:tc>
        <w:tc>
          <w:tcPr>
            <w:tcW w:w="1421" w:type="dxa"/>
          </w:tcPr>
          <w:p w14:paraId="72C0D8FD" w14:textId="77777777" w:rsidR="00087872" w:rsidRDefault="00256B13">
            <w:pPr>
              <w:widowControl w:val="0"/>
              <w:spacing w:after="0" w:line="240" w:lineRule="auto"/>
              <w:jc w:val="left"/>
              <w:rPr>
                <w:sz w:val="22"/>
                <w:szCs w:val="22"/>
              </w:rPr>
            </w:pPr>
            <w:r>
              <w:rPr>
                <w:sz w:val="22"/>
                <w:szCs w:val="22"/>
              </w:rPr>
              <w:t>74</w:t>
            </w:r>
          </w:p>
        </w:tc>
        <w:tc>
          <w:tcPr>
            <w:tcW w:w="1133" w:type="dxa"/>
          </w:tcPr>
          <w:p w14:paraId="6B514B1B" w14:textId="77777777" w:rsidR="00087872" w:rsidRDefault="00256B13">
            <w:pPr>
              <w:widowControl w:val="0"/>
              <w:spacing w:after="0" w:line="240" w:lineRule="auto"/>
              <w:jc w:val="left"/>
              <w:rPr>
                <w:sz w:val="22"/>
                <w:szCs w:val="22"/>
              </w:rPr>
            </w:pPr>
            <w:r>
              <w:rPr>
                <w:sz w:val="22"/>
                <w:szCs w:val="22"/>
              </w:rPr>
              <w:t>-</w:t>
            </w:r>
          </w:p>
        </w:tc>
        <w:tc>
          <w:tcPr>
            <w:tcW w:w="2123" w:type="dxa"/>
          </w:tcPr>
          <w:p w14:paraId="28BB4BE9" w14:textId="77777777" w:rsidR="00087872" w:rsidRDefault="00256B13">
            <w:pPr>
              <w:widowControl w:val="0"/>
              <w:spacing w:after="0" w:line="240" w:lineRule="auto"/>
              <w:jc w:val="left"/>
              <w:rPr>
                <w:sz w:val="22"/>
                <w:szCs w:val="22"/>
              </w:rPr>
            </w:pPr>
            <w:r>
              <w:rPr>
                <w:sz w:val="22"/>
                <w:szCs w:val="22"/>
              </w:rPr>
              <w:t>-</w:t>
            </w:r>
          </w:p>
        </w:tc>
        <w:tc>
          <w:tcPr>
            <w:tcW w:w="1422" w:type="dxa"/>
            <w:tcBorders>
              <w:right w:val="single" w:sz="12" w:space="0" w:color="000000"/>
            </w:tcBorders>
          </w:tcPr>
          <w:p w14:paraId="345C0249" w14:textId="77777777" w:rsidR="00087872" w:rsidRDefault="00256B13">
            <w:pPr>
              <w:widowControl w:val="0"/>
              <w:spacing w:after="0" w:line="240" w:lineRule="auto"/>
              <w:jc w:val="left"/>
              <w:rPr>
                <w:sz w:val="22"/>
                <w:szCs w:val="22"/>
              </w:rPr>
            </w:pPr>
            <w:r>
              <w:rPr>
                <w:sz w:val="22"/>
                <w:szCs w:val="22"/>
              </w:rPr>
              <w:t>-</w:t>
            </w:r>
          </w:p>
        </w:tc>
      </w:tr>
      <w:tr w:rsidR="00087872" w14:paraId="3205E83E" w14:textId="77777777">
        <w:tc>
          <w:tcPr>
            <w:tcW w:w="3257" w:type="dxa"/>
          </w:tcPr>
          <w:p w14:paraId="01C336FD" w14:textId="77777777" w:rsidR="00087872" w:rsidRDefault="00256B13">
            <w:pPr>
              <w:widowControl w:val="0"/>
              <w:spacing w:after="0" w:line="240" w:lineRule="auto"/>
              <w:jc w:val="left"/>
              <w:rPr>
                <w:b/>
                <w:sz w:val="22"/>
                <w:szCs w:val="22"/>
              </w:rPr>
            </w:pPr>
            <w:r>
              <w:rPr>
                <w:b/>
                <w:sz w:val="22"/>
                <w:szCs w:val="22"/>
              </w:rPr>
              <w:t>Kopā</w:t>
            </w:r>
          </w:p>
        </w:tc>
        <w:tc>
          <w:tcPr>
            <w:tcW w:w="1421" w:type="dxa"/>
          </w:tcPr>
          <w:p w14:paraId="392129C7" w14:textId="77777777" w:rsidR="00087872" w:rsidRDefault="00256B13">
            <w:pPr>
              <w:widowControl w:val="0"/>
              <w:spacing w:after="0" w:line="240" w:lineRule="auto"/>
              <w:jc w:val="left"/>
              <w:rPr>
                <w:b/>
                <w:sz w:val="22"/>
                <w:szCs w:val="22"/>
              </w:rPr>
            </w:pPr>
            <w:r>
              <w:rPr>
                <w:b/>
                <w:sz w:val="22"/>
                <w:szCs w:val="22"/>
              </w:rPr>
              <w:t>704</w:t>
            </w:r>
          </w:p>
        </w:tc>
        <w:tc>
          <w:tcPr>
            <w:tcW w:w="1133" w:type="dxa"/>
          </w:tcPr>
          <w:p w14:paraId="484C9508" w14:textId="77777777" w:rsidR="00087872" w:rsidRDefault="00256B13">
            <w:pPr>
              <w:widowControl w:val="0"/>
              <w:spacing w:after="0" w:line="240" w:lineRule="auto"/>
              <w:jc w:val="left"/>
              <w:rPr>
                <w:b/>
                <w:sz w:val="22"/>
                <w:szCs w:val="22"/>
              </w:rPr>
            </w:pPr>
            <w:r>
              <w:rPr>
                <w:b/>
                <w:sz w:val="22"/>
                <w:szCs w:val="22"/>
              </w:rPr>
              <w:t>108</w:t>
            </w:r>
          </w:p>
        </w:tc>
        <w:tc>
          <w:tcPr>
            <w:tcW w:w="2123" w:type="dxa"/>
          </w:tcPr>
          <w:p w14:paraId="3CFE274D" w14:textId="77777777" w:rsidR="00087872" w:rsidRDefault="00256B13">
            <w:pPr>
              <w:widowControl w:val="0"/>
              <w:spacing w:after="0" w:line="240" w:lineRule="auto"/>
              <w:jc w:val="left"/>
              <w:rPr>
                <w:b/>
                <w:sz w:val="22"/>
                <w:szCs w:val="22"/>
              </w:rPr>
            </w:pPr>
            <w:r>
              <w:rPr>
                <w:b/>
                <w:sz w:val="22"/>
                <w:szCs w:val="22"/>
              </w:rPr>
              <w:t>235 /</w:t>
            </w:r>
            <w:r>
              <w:rPr>
                <w:b/>
                <w:i/>
                <w:iCs/>
                <w:sz w:val="22"/>
                <w:szCs w:val="22"/>
              </w:rPr>
              <w:t>163</w:t>
            </w:r>
          </w:p>
        </w:tc>
        <w:tc>
          <w:tcPr>
            <w:tcW w:w="1422" w:type="dxa"/>
            <w:tcBorders>
              <w:right w:val="single" w:sz="12" w:space="0" w:color="000000"/>
            </w:tcBorders>
          </w:tcPr>
          <w:p w14:paraId="7D36952D" w14:textId="77777777" w:rsidR="00087872" w:rsidRDefault="00256B13">
            <w:pPr>
              <w:widowControl w:val="0"/>
              <w:spacing w:after="0" w:line="240" w:lineRule="auto"/>
              <w:jc w:val="left"/>
              <w:rPr>
                <w:b/>
                <w:sz w:val="22"/>
                <w:szCs w:val="22"/>
              </w:rPr>
            </w:pPr>
            <w:r>
              <w:rPr>
                <w:b/>
                <w:sz w:val="22"/>
                <w:szCs w:val="22"/>
              </w:rPr>
              <w:t>203</w:t>
            </w:r>
          </w:p>
        </w:tc>
      </w:tr>
    </w:tbl>
    <w:p w14:paraId="27AB66F8" w14:textId="77777777" w:rsidR="00087872" w:rsidRDefault="00087872">
      <w:pPr>
        <w:rPr>
          <w:sz w:val="22"/>
          <w:szCs w:val="22"/>
        </w:rPr>
      </w:pPr>
    </w:p>
    <w:p w14:paraId="759A06C4" w14:textId="77777777" w:rsidR="00087872" w:rsidRDefault="00256B13">
      <w:r>
        <w:rPr>
          <w:sz w:val="22"/>
          <w:szCs w:val="22"/>
        </w:rPr>
        <w:t xml:space="preserve">Darbības programmas “Izaugsme un nodarbinātība” ESF projekta “Profesionālās izglītības iestāžu efektīva pārvaldība un personāla kompetences pilnveide” (vienošanās Nr. 8.5.3.0/16/I/001) ietvaros ir izstrādāti un saskaņoti profesionālās izglītības programmu </w:t>
      </w:r>
      <w:r>
        <w:rPr>
          <w:sz w:val="22"/>
          <w:szCs w:val="22"/>
        </w:rPr>
        <w:t>paraugi, kuru mērķis ir atvieglot un nodrošināt izglītības programmu izstrādes procesu profesionālās izglītības iestādēm, nodrošināt efektīvu izglītības kvalitātes vadību un uzraudzību, mazināt administratīvo slogu, atvieglojot dokumentu izstrādes un aprit</w:t>
      </w:r>
      <w:r>
        <w:rPr>
          <w:sz w:val="22"/>
          <w:szCs w:val="22"/>
        </w:rPr>
        <w:t>es procesus izglītības programmu licencēšanai. 2022. gadā izglītības iestādes turpināja pēc parauga izveidotās profesionālās izglītības programmas pieteikt licencēšanai, izmantojot VIIS funkcionalitāti. 32 profesionālās izglītības iestādēm, t.sk. 7 privāta</w:t>
      </w:r>
      <w:r>
        <w:rPr>
          <w:sz w:val="22"/>
          <w:szCs w:val="22"/>
        </w:rPr>
        <w:t>jām izglītības iestādēm licencētas 163 profesionālās izglītības programmas, kas izveidotas pēc VISC tīmekļvietnē publicētiem izglītības programmu paraugiem (2021. gadā – 61 izglītības programma). IZM padotībā esošās profesionālās izglītības iestādes pakāpe</w:t>
      </w:r>
      <w:r>
        <w:rPr>
          <w:sz w:val="22"/>
          <w:szCs w:val="22"/>
        </w:rPr>
        <w:t xml:space="preserve">niski pāriet uz modulāro programmu (pēc parauga) īstenošanu, tādēļ, salīdzinājumā ar 2021. gadu, pēc parauga licencēto modulāro profesionālās izglītības programmu skaits ir palielinājies gandrīz 3 reizes.  </w:t>
      </w:r>
    </w:p>
    <w:p w14:paraId="310282C4" w14:textId="77777777" w:rsidR="00087872" w:rsidRDefault="00256B13">
      <w:r>
        <w:rPr>
          <w:sz w:val="22"/>
          <w:szCs w:val="22"/>
        </w:rPr>
        <w:t>Pieaugušo profesionālās izglītības programmu lice</w:t>
      </w:r>
      <w:r>
        <w:rPr>
          <w:sz w:val="22"/>
          <w:szCs w:val="22"/>
        </w:rPr>
        <w:t>ncēšana pārsvarā tika īstenota, nodrošinot Nodarbinātības valsts aģentūras īstenotos ESF atbalsta pasākumus darba meklētājiem un bezdarbniekiem, kā arī, lai akreditētas profesionālās izglītības iestādes varētu piedalīties Valsts izglītības attīstības aģent</w:t>
      </w:r>
      <w:r>
        <w:rPr>
          <w:sz w:val="22"/>
          <w:szCs w:val="22"/>
        </w:rPr>
        <w:t>ūras īstenotajā ESF projektā Nr.8.4.1.0/16/1/001 ”Nodarbināto personu profesionālās kompetences pilnveide” (7. un 8.kārta), kurā strādājošām personām tiek sniegta iespēja pilnveidot profesionālās prasmes un kompetences. Tādējādi 2022. gadā licencēta kopā 4</w:t>
      </w:r>
      <w:r>
        <w:rPr>
          <w:sz w:val="22"/>
          <w:szCs w:val="22"/>
        </w:rPr>
        <w:t>81 (2021. gadā – 796) profesionālās tālākizglītības un profesionālās pilnveides izglītības programma. Pieaugušo izglītības programmas pārsvarā īsteno privātās izglītības iestādes (profesionālās pilnveides izglītības programmas – 66 %; profesionālās tālākiz</w:t>
      </w:r>
      <w:r>
        <w:rPr>
          <w:sz w:val="22"/>
          <w:szCs w:val="22"/>
        </w:rPr>
        <w:t>glītības programmas – 34 %), tomēr arī valsts un pašvaldību profesionālās izglītības iestādes 2022. gadā aktivizēja savu darbību profesionālas pilnveides un profesionālās tālākizglītības programmu licencēšanā pieaugušo iesaistei izglītībā. 2022. gadā, mekl</w:t>
      </w:r>
      <w:r>
        <w:rPr>
          <w:sz w:val="22"/>
          <w:szCs w:val="22"/>
        </w:rPr>
        <w:t xml:space="preserve">ējot mācību procesa īstenošanai atbilstošāko modeli, izstrādāta un licencēta 203 neklātienes profesionālās izglītības programmas (tostarp 2 sākotnējās profesionālās izglītības programmas).  </w:t>
      </w:r>
    </w:p>
    <w:p w14:paraId="485F72E4" w14:textId="77777777" w:rsidR="00087872" w:rsidRDefault="00256B13">
      <w:r>
        <w:rPr>
          <w:sz w:val="22"/>
          <w:szCs w:val="22"/>
        </w:rPr>
        <w:t>Jaunu izglītības programmu izstrāde un izmaiņas mācību plānos 202</w:t>
      </w:r>
      <w:r>
        <w:rPr>
          <w:sz w:val="22"/>
          <w:szCs w:val="22"/>
        </w:rPr>
        <w:t>2. gadā notikušas arī profesionālās ievirzes izglītības iestādēs. Pārskata periodā licencētas 74 profesionālās ievirzes izglītības programmas, t.sk. 51 % (38) mākslas un mūzikas, skatuves mākslas, un vizuāli plastikās mākslas profesionālās ievirzes izglītī</w:t>
      </w:r>
      <w:r>
        <w:rPr>
          <w:sz w:val="22"/>
          <w:szCs w:val="22"/>
        </w:rPr>
        <w:t xml:space="preserve">bas programmas un 49% (36) sporta izglītības programmas. </w:t>
      </w:r>
    </w:p>
    <w:p w14:paraId="10C77EEE" w14:textId="77777777" w:rsidR="00087872" w:rsidRDefault="00256B13">
      <w:r>
        <w:rPr>
          <w:sz w:val="22"/>
          <w:szCs w:val="22"/>
        </w:rPr>
        <w:t xml:space="preserve">Jaunās profesionālās izglītības programmas visvairāk licencētas datorikas (184 programmas), </w:t>
      </w:r>
      <w:proofErr w:type="spellStart"/>
      <w:r>
        <w:rPr>
          <w:sz w:val="22"/>
          <w:szCs w:val="22"/>
        </w:rPr>
        <w:t>komerczinību</w:t>
      </w:r>
      <w:proofErr w:type="spellEnd"/>
      <w:r>
        <w:rPr>
          <w:sz w:val="22"/>
          <w:szCs w:val="22"/>
        </w:rPr>
        <w:t xml:space="preserve"> un administrēšanas (109 programmas), inženierzinātņu un tehnoloģiju (81 programma), individuā</w:t>
      </w:r>
      <w:r>
        <w:rPr>
          <w:sz w:val="22"/>
          <w:szCs w:val="22"/>
        </w:rPr>
        <w:t>lo pakalpojumu (t.sk. sporta) (78 programmas), mākslas (61 programma), arhitektūras un būvniecības (39 programmas), ražošanas un pārstrādes (35 programmas) jomā.</w:t>
      </w:r>
    </w:p>
    <w:p w14:paraId="505D2BBB" w14:textId="77777777" w:rsidR="00087872" w:rsidRDefault="00087872">
      <w:pPr>
        <w:pStyle w:val="Virsraksts31"/>
      </w:pPr>
    </w:p>
    <w:p w14:paraId="21637269" w14:textId="77777777" w:rsidR="00087872" w:rsidRDefault="00256B13">
      <w:pPr>
        <w:pStyle w:val="Virsraksts31"/>
      </w:pPr>
      <w:bookmarkStart w:id="46" w:name="_Toc139120229"/>
      <w:bookmarkStart w:id="47" w:name="_Toc456012544"/>
      <w:bookmarkStart w:id="48" w:name="_Toc456012650"/>
      <w:r>
        <w:t>2.2.3. Izglītības kvalitātes novērtēšana un nodrošināšana</w:t>
      </w:r>
      <w:bookmarkEnd w:id="46"/>
      <w:bookmarkEnd w:id="47"/>
      <w:bookmarkEnd w:id="48"/>
    </w:p>
    <w:p w14:paraId="7F28F8F0" w14:textId="77777777" w:rsidR="00087872" w:rsidRDefault="00256B13">
      <w:pPr>
        <w:pStyle w:val="virsraksts60"/>
      </w:pPr>
      <w:r>
        <w:rPr>
          <w:sz w:val="24"/>
        </w:rPr>
        <w:t xml:space="preserve">Izglītības iestāžu un </w:t>
      </w:r>
      <w:r>
        <w:rPr>
          <w:sz w:val="24"/>
        </w:rPr>
        <w:t>izglītības programmu akreditācija, izglītības iestāžu vadītāju profesionālās darbības novērtēšana un to rezultāti</w:t>
      </w:r>
    </w:p>
    <w:p w14:paraId="6DA8CB1D" w14:textId="77777777" w:rsidR="00BA3445" w:rsidRPr="00BA3445" w:rsidRDefault="00BA3445" w:rsidP="00BA3445">
      <w:pPr>
        <w:tabs>
          <w:tab w:val="left" w:pos="567"/>
        </w:tabs>
        <w:suppressAutoHyphens w:val="0"/>
        <w:rPr>
          <w:rFonts w:eastAsia="Times New Roman"/>
          <w:sz w:val="22"/>
          <w:szCs w:val="22"/>
        </w:rPr>
      </w:pPr>
      <w:r w:rsidRPr="00BA3445">
        <w:rPr>
          <w:rFonts w:eastAsia="Times New Roman"/>
          <w:sz w:val="22"/>
          <w:szCs w:val="22"/>
        </w:rPr>
        <w:t xml:space="preserve">Apkopojot informāciju par 2022. gadā notikušajām vispārējās izglītības un profesionālās izglītības iestāžu akreditācijām, var konstatēt, ka notikusi 251 akreditācija un 277 izglītības iestāžu vadītāju profesionālās darbības novērtēšana. </w:t>
      </w:r>
    </w:p>
    <w:p w14:paraId="7F84F771" w14:textId="77777777" w:rsidR="00BA3445" w:rsidRPr="00BA3445" w:rsidRDefault="00BA3445" w:rsidP="00BA3445">
      <w:pPr>
        <w:tabs>
          <w:tab w:val="left" w:pos="567"/>
        </w:tabs>
        <w:suppressAutoHyphens w:val="0"/>
        <w:rPr>
          <w:rFonts w:eastAsia="Times New Roman"/>
          <w:sz w:val="22"/>
          <w:szCs w:val="22"/>
        </w:rPr>
      </w:pPr>
      <w:r w:rsidRPr="00BA3445">
        <w:rPr>
          <w:rFonts w:eastAsia="Times New Roman"/>
          <w:sz w:val="22"/>
          <w:szCs w:val="22"/>
        </w:rPr>
        <w:t xml:space="preserve">Vispārējā izglītībā notikušas 136 akreditācijas, profesionālajā izglītībā notikušas 115 akreditācijas. Tāpat veikta 277 izglītības iestāžu vadītāju profesionālās darbības novērtēšana (skat. 4. attēlu), t.sk. 130 vispārējās izglītības iestāžu vadītājiem, 59 profesionālās izglītības iestāžu vadītājiem, 88 pirmskolas izglītības iestāžu vadītājiem (72 pašvaldību pirmskolas izglītības iestāžu vadītājiem, 12 privātās pirmskolas izglītības iestāžu vadītājiem). 23 izglītības iestāžu vadītāju profesionālā darbība vienā vai vairākos kritērijos novērtēta ar kvalitātes līmeni “jāpilnveido”, kas nozīmē, ka viņiem ir būtiski jāpilnveido profesionālā darbība: (i) 10 vispārējās izglītības iestādes vadītāji, (ii) 11 pirmskolas izglītības iestādes vadītāji, (iii) 2 profesionālās izglītības iestādes vadītāji. </w:t>
      </w:r>
    </w:p>
    <w:p w14:paraId="70A5A876" w14:textId="5FC5B136" w:rsidR="00087872" w:rsidRDefault="00256B13">
      <w:pPr>
        <w:pStyle w:val="Sarakstarindkopa"/>
        <w:tabs>
          <w:tab w:val="left" w:pos="567"/>
        </w:tabs>
        <w:ind w:left="0"/>
        <w:contextualSpacing w:val="0"/>
      </w:pPr>
      <w:r>
        <w:rPr>
          <w:rFonts w:ascii="Times New Roman" w:eastAsia="Times New Roman" w:hAnsi="Times New Roman"/>
          <w:lang w:eastAsia="en-US"/>
        </w:rPr>
        <w:t>Ņ</w:t>
      </w:r>
      <w:r>
        <w:rPr>
          <w:rFonts w:ascii="Times New Roman" w:eastAsia="Times New Roman" w:hAnsi="Times New Roman"/>
          <w:lang w:eastAsia="en-US"/>
        </w:rPr>
        <w:t>emot vērā, ka atbilstoši Grozījumiem Izglītības likumā no 2022. gada augusta vispārējā izglītībā notikusi pāreja uz institucionālo akreditāciju (tas nozīmē, ka tiek akreditētas tikai vispā</w:t>
      </w:r>
      <w:r>
        <w:rPr>
          <w:rFonts w:ascii="Times New Roman" w:eastAsia="Times New Roman" w:hAnsi="Times New Roman"/>
          <w:lang w:eastAsia="en-US"/>
        </w:rPr>
        <w:t xml:space="preserve">rējās izglītības iestādes, vispārējās izglītības programmu akreditācija tiek pārtraukta) pārskatā tiek sniegta informācija tikai par vispārējās izglītības iestāžu akreditāciju. </w:t>
      </w:r>
      <w:r w:rsidR="00411B57" w:rsidRPr="00411B57">
        <w:rPr>
          <w:rFonts w:ascii="Times New Roman" w:eastAsia="Times New Roman" w:hAnsi="Times New Roman"/>
          <w:lang w:eastAsia="en-US"/>
        </w:rPr>
        <w:t>Visas 136 akreditētās vispārējās izglītības iestādes saņēmušas akreditāciju uz 6 gadiem. Vienlaikus 14 izglītības programmas, kas akreditētas laikā līdz 2022. gada augustam, saņēmušas akreditāciju uz 6 gadiem ar nosacījumu uz 2 gadiem.</w:t>
      </w:r>
      <w:r>
        <w:rPr>
          <w:rFonts w:ascii="Times New Roman" w:eastAsia="Times New Roman" w:hAnsi="Times New Roman"/>
          <w:lang w:eastAsia="en-US"/>
        </w:rPr>
        <w:t xml:space="preserve"> </w:t>
      </w:r>
    </w:p>
    <w:p w14:paraId="1E3C9AC0" w14:textId="77777777" w:rsidR="00087872" w:rsidRDefault="00256B13">
      <w:pPr>
        <w:pStyle w:val="Sarakstarindkopa"/>
        <w:tabs>
          <w:tab w:val="left" w:pos="567"/>
        </w:tabs>
        <w:ind w:left="0"/>
        <w:contextualSpacing w:val="0"/>
        <w:rPr>
          <w:rFonts w:ascii="Times New Roman" w:eastAsia="Times New Roman" w:hAnsi="Times New Roman"/>
          <w:lang w:eastAsia="en-US"/>
        </w:rPr>
      </w:pPr>
      <w:r>
        <w:rPr>
          <w:rFonts w:ascii="Times New Roman" w:eastAsia="Times New Roman" w:hAnsi="Times New Roman"/>
          <w:lang w:eastAsia="en-US"/>
        </w:rPr>
        <w:t>Profesionālajā izglītībā notikušas 92 akreditācijas profesionālās pilnveides izglītības programmu īstenošanā, 38 akreditācijas profesionālās tālākizglītības programmu īstenošanā, akreditētas 8 profesionālās pama</w:t>
      </w:r>
      <w:r>
        <w:rPr>
          <w:rFonts w:ascii="Times New Roman" w:eastAsia="Times New Roman" w:hAnsi="Times New Roman"/>
          <w:lang w:eastAsia="en-US"/>
        </w:rPr>
        <w:t>tizglītības programmas, 150 –</w:t>
      </w:r>
      <w:r>
        <w:t xml:space="preserve"> </w:t>
      </w:r>
      <w:r>
        <w:rPr>
          <w:rFonts w:ascii="Times New Roman" w:eastAsia="Times New Roman" w:hAnsi="Times New Roman"/>
          <w:lang w:eastAsia="en-US"/>
        </w:rPr>
        <w:t>profesionālās vidējās izglītības programmas, 217 –</w:t>
      </w:r>
      <w:r>
        <w:t xml:space="preserve"> </w:t>
      </w:r>
      <w:r>
        <w:rPr>
          <w:rFonts w:ascii="Times New Roman" w:eastAsia="Times New Roman" w:hAnsi="Times New Roman"/>
          <w:lang w:eastAsia="en-US"/>
        </w:rPr>
        <w:t>profesionālās ievirzes izglītības programmas, no tām 143 profesionālās ievirzes izglītības programmas mūzikā un mākslā un 74 profesionālās ievirzes izglītības programmas sport</w:t>
      </w:r>
      <w:r>
        <w:rPr>
          <w:rFonts w:ascii="Times New Roman" w:eastAsia="Times New Roman" w:hAnsi="Times New Roman"/>
          <w:lang w:eastAsia="en-US"/>
        </w:rPr>
        <w:t>ā (skat. 3. attēlu).</w:t>
      </w:r>
    </w:p>
    <w:p w14:paraId="1609702D" w14:textId="77777777" w:rsidR="00087872" w:rsidRDefault="00256B13">
      <w:pPr>
        <w:pStyle w:val="Sarakstarindkopa"/>
        <w:tabs>
          <w:tab w:val="left" w:pos="567"/>
        </w:tabs>
        <w:ind w:left="0"/>
        <w:contextualSpacing w:val="0"/>
      </w:pPr>
      <w:r>
        <w:rPr>
          <w:rFonts w:ascii="Times New Roman" w:eastAsia="Times New Roman" w:hAnsi="Times New Roman"/>
          <w:lang w:eastAsia="en-US"/>
        </w:rPr>
        <w:t xml:space="preserve">Profesionālajā izglītībā, īstenojot akreditācijas ar ekspertu komisiju, 36 izglītības iestādes tikušas akreditētas uz 6 gadiem, 1 izglītības iestādei atteikta akreditācija, bet attiecībā uz izglītības programmu akreditāciju – no visām </w:t>
      </w:r>
      <w:r>
        <w:rPr>
          <w:rFonts w:ascii="Times New Roman" w:eastAsia="Times New Roman" w:hAnsi="Times New Roman"/>
          <w:lang w:eastAsia="en-US"/>
        </w:rPr>
        <w:t>505 profesionālās izglītības programmām 25 akreditētas uz 6 gadiem ar nosacījumu uz 2 gadiem, no tām: (i) 6 profesionālās tālākizglītības programmas, (ii) 13 profesionālās vidējās izglītības programmas, (iii) 2 profesionālās pilnveides izglītības programma</w:t>
      </w:r>
      <w:r>
        <w:rPr>
          <w:rFonts w:ascii="Times New Roman" w:eastAsia="Times New Roman" w:hAnsi="Times New Roman"/>
          <w:lang w:eastAsia="en-US"/>
        </w:rPr>
        <w:t>s, (iv) 4 profesionālās ievirzes izglītības programmas (māksla).</w:t>
      </w:r>
    </w:p>
    <w:p w14:paraId="03211936" w14:textId="77777777" w:rsidR="00087872" w:rsidRDefault="00256B13">
      <w:pPr>
        <w:pStyle w:val="Sarakstarindkopa"/>
        <w:tabs>
          <w:tab w:val="left" w:pos="567"/>
        </w:tabs>
        <w:ind w:left="0"/>
        <w:contextualSpacing w:val="0"/>
        <w:jc w:val="right"/>
        <w:rPr>
          <w:rFonts w:ascii="Times New Roman" w:eastAsia="Times New Roman" w:hAnsi="Times New Roman"/>
          <w:lang w:eastAsia="en-US"/>
        </w:rPr>
      </w:pPr>
      <w:r>
        <w:rPr>
          <w:rFonts w:ascii="Times New Roman" w:eastAsia="Times New Roman" w:hAnsi="Times New Roman"/>
          <w:lang w:eastAsia="en-US"/>
        </w:rPr>
        <w:t>3. attēls</w:t>
      </w:r>
    </w:p>
    <w:p w14:paraId="27D0DC33" w14:textId="45794243" w:rsidR="00087872" w:rsidRDefault="00C57DCD">
      <w:pPr>
        <w:pStyle w:val="Sarakstarindkopa"/>
        <w:tabs>
          <w:tab w:val="left" w:pos="567"/>
        </w:tabs>
        <w:ind w:left="0"/>
        <w:contextualSpacing w:val="0"/>
        <w:jc w:val="center"/>
      </w:pPr>
      <w:r>
        <w:rPr>
          <w:noProof/>
        </w:rPr>
        <w:drawing>
          <wp:inline distT="0" distB="0" distL="0" distR="0" wp14:anchorId="57EFCF7E" wp14:editId="25F7F5BC">
            <wp:extent cx="5939578" cy="3409950"/>
            <wp:effectExtent l="19050" t="19050" r="23495" b="19050"/>
            <wp:docPr id="3965206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20693" name=""/>
                    <pic:cNvPicPr/>
                  </pic:nvPicPr>
                  <pic:blipFill rotWithShape="1">
                    <a:blip r:embed="rId17"/>
                    <a:srcRect l="22707" t="20752" r="8402" b="11060"/>
                    <a:stretch/>
                  </pic:blipFill>
                  <pic:spPr bwMode="auto">
                    <a:xfrm>
                      <a:off x="0" y="0"/>
                      <a:ext cx="5943174" cy="3412015"/>
                    </a:xfrm>
                    <a:prstGeom prst="rect">
                      <a:avLst/>
                    </a:prstGeom>
                    <a:ln w="3175">
                      <a:solidFill>
                        <a:sysClr val="window" lastClr="FFFFFF">
                          <a:lumMod val="75000"/>
                        </a:sysClr>
                      </a:solidFill>
                    </a:ln>
                    <a:extLst>
                      <a:ext uri="{53640926-AAD7-44D8-BBD7-CCE9431645EC}">
                        <a14:shadowObscured xmlns:a14="http://schemas.microsoft.com/office/drawing/2010/main"/>
                      </a:ext>
                    </a:extLst>
                  </pic:spPr>
                </pic:pic>
              </a:graphicData>
            </a:graphic>
          </wp:inline>
        </w:drawing>
      </w:r>
    </w:p>
    <w:p w14:paraId="129C511F" w14:textId="77777777" w:rsidR="00087872" w:rsidRDefault="00256B13">
      <w:pPr>
        <w:pStyle w:val="Sarakstarindkopa"/>
        <w:tabs>
          <w:tab w:val="left" w:pos="567"/>
        </w:tabs>
        <w:ind w:left="0"/>
        <w:contextualSpacing w:val="0"/>
        <w:rPr>
          <w:rFonts w:ascii="Times New Roman" w:hAnsi="Times New Roman"/>
        </w:rPr>
      </w:pPr>
      <w:r>
        <w:rPr>
          <w:rFonts w:ascii="Times New Roman" w:hAnsi="Times New Roman"/>
        </w:rPr>
        <w:t>Saskaņā ar Starptautisko skolu likuma 13.panta trešajā daļa noteikto kvalitātes dienests ne retāk kā reizi gadā pārliecinās par mācību priekšmeta “Latvijas mācība” īstenošanas atb</w:t>
      </w:r>
      <w:r>
        <w:rPr>
          <w:rFonts w:ascii="Times New Roman" w:hAnsi="Times New Roman"/>
        </w:rPr>
        <w:t>ilstību apstiprinātajai šā mācību priekšmeta programmai. Līdz ar to kvalitātes dienests pārliecinājās par Latvijas mācības apguvi un sagatavoja ziņojumu.</w:t>
      </w:r>
    </w:p>
    <w:p w14:paraId="11E0CC69" w14:textId="77777777" w:rsidR="00087872" w:rsidRDefault="00087872">
      <w:pPr>
        <w:pStyle w:val="virsraksts60"/>
        <w:rPr>
          <w:sz w:val="24"/>
        </w:rPr>
      </w:pPr>
    </w:p>
    <w:p w14:paraId="780E89D2" w14:textId="77777777" w:rsidR="00087872" w:rsidRDefault="00256B13">
      <w:pPr>
        <w:pStyle w:val="virsraksts60"/>
      </w:pPr>
      <w:proofErr w:type="spellStart"/>
      <w:r>
        <w:rPr>
          <w:sz w:val="24"/>
        </w:rPr>
        <w:t>Pēcakreditācijas</w:t>
      </w:r>
      <w:proofErr w:type="spellEnd"/>
      <w:r>
        <w:rPr>
          <w:sz w:val="24"/>
        </w:rPr>
        <w:t xml:space="preserve"> monitorings un izglītības iestāžu apmeklējumi</w:t>
      </w:r>
    </w:p>
    <w:p w14:paraId="60CA2789" w14:textId="77777777" w:rsidR="00087872" w:rsidRDefault="00256B13">
      <w:pPr>
        <w:pStyle w:val="Sarakstarindkopa"/>
        <w:tabs>
          <w:tab w:val="left" w:pos="567"/>
        </w:tabs>
        <w:ind w:left="0"/>
        <w:contextualSpacing w:val="0"/>
      </w:pPr>
      <w:r>
        <w:rPr>
          <w:rFonts w:ascii="Times New Roman" w:eastAsia="Times New Roman" w:hAnsi="Times New Roman"/>
        </w:rPr>
        <w:t>Lai izvērtētu akreditācijas ekspertu k</w:t>
      </w:r>
      <w:r>
        <w:rPr>
          <w:rFonts w:ascii="Times New Roman" w:eastAsia="Times New Roman" w:hAnsi="Times New Roman"/>
        </w:rPr>
        <w:t xml:space="preserve">omisiju sniegto rekomendāciju un uzdevumu izpildi, kvalitātes dienests 2022. gadā uzsāka izglītības iestāžu apmeklējumus. </w:t>
      </w:r>
    </w:p>
    <w:p w14:paraId="465BA27D" w14:textId="77777777" w:rsidR="00087872" w:rsidRDefault="00256B13">
      <w:pPr>
        <w:pStyle w:val="Sarakstarindkopa"/>
        <w:tabs>
          <w:tab w:val="left" w:pos="567"/>
        </w:tabs>
        <w:ind w:left="0"/>
      </w:pPr>
      <w:r>
        <w:rPr>
          <w:rFonts w:ascii="Times New Roman" w:eastAsia="Times New Roman" w:hAnsi="Times New Roman"/>
        </w:rPr>
        <w:t>Apmeklējumu mērķi:</w:t>
      </w:r>
    </w:p>
    <w:p w14:paraId="44756895" w14:textId="77777777" w:rsidR="00087872" w:rsidRDefault="00256B13">
      <w:pPr>
        <w:pStyle w:val="Sarakstarindkopa"/>
        <w:tabs>
          <w:tab w:val="left" w:pos="567"/>
        </w:tabs>
        <w:ind w:left="0"/>
      </w:pPr>
      <w:r>
        <w:rPr>
          <w:rFonts w:ascii="Times New Roman" w:eastAsia="Times New Roman" w:hAnsi="Times New Roman"/>
        </w:rPr>
        <w:t>1.</w:t>
      </w:r>
      <w:r>
        <w:rPr>
          <w:rFonts w:ascii="Times New Roman" w:eastAsia="Times New Roman" w:hAnsi="Times New Roman"/>
        </w:rPr>
        <w:tab/>
        <w:t>Izvērtēt izglītības iestāžu darbības izaugsmes dinamiku kopš pēdējās akreditācijas tajās izglītības iestādēs, k</w:t>
      </w:r>
      <w:r>
        <w:rPr>
          <w:rFonts w:ascii="Times New Roman" w:eastAsia="Times New Roman" w:hAnsi="Times New Roman"/>
        </w:rPr>
        <w:t>urās akreditācija bija pirms četriem gadiem;</w:t>
      </w:r>
    </w:p>
    <w:p w14:paraId="6739E76E" w14:textId="77777777" w:rsidR="00087872" w:rsidRDefault="00256B13">
      <w:pPr>
        <w:pStyle w:val="Sarakstarindkopa"/>
        <w:tabs>
          <w:tab w:val="left" w:pos="567"/>
        </w:tabs>
        <w:ind w:left="0"/>
      </w:pPr>
      <w:r>
        <w:rPr>
          <w:rFonts w:ascii="Times New Roman" w:eastAsia="Times New Roman" w:hAnsi="Times New Roman"/>
        </w:rPr>
        <w:t>2.</w:t>
      </w:r>
      <w:r>
        <w:rPr>
          <w:rFonts w:ascii="Times New Roman" w:eastAsia="Times New Roman" w:hAnsi="Times New Roman"/>
        </w:rPr>
        <w:tab/>
        <w:t xml:space="preserve">Izvērtēt izglītības iestāžu vadītāju darbības izaugsmes dinamiku tajās izglītības iestādēs, kuru vadītājiem profesionālās darbības novērtēšanā bija viens vai vairāki kvalitātes vērtējuma līmeņi </w:t>
      </w:r>
      <w:r>
        <w:rPr>
          <w:rFonts w:ascii="Times New Roman" w:eastAsia="Times New Roman" w:hAnsi="Times New Roman"/>
        </w:rPr>
        <w:t>“Jāpilnveido”;</w:t>
      </w:r>
    </w:p>
    <w:p w14:paraId="337055DB" w14:textId="77777777" w:rsidR="00087872" w:rsidRDefault="00256B13">
      <w:pPr>
        <w:pStyle w:val="Sarakstarindkopa"/>
        <w:tabs>
          <w:tab w:val="left" w:pos="567"/>
        </w:tabs>
        <w:ind w:left="0"/>
      </w:pPr>
      <w:r>
        <w:rPr>
          <w:rFonts w:ascii="Times New Roman" w:eastAsia="Times New Roman" w:hAnsi="Times New Roman"/>
        </w:rPr>
        <w:t>3.</w:t>
      </w:r>
      <w:r>
        <w:rPr>
          <w:rFonts w:ascii="Times New Roman" w:eastAsia="Times New Roman" w:hAnsi="Times New Roman"/>
        </w:rPr>
        <w:tab/>
        <w:t xml:space="preserve">Izvērtēt izglītības kvalitāti izglītības iestādēs, kurās beidzas divu gadu termiņš pēc izglītības programmu akreditācijas, veicot izglītības programmu īstenošanas kvalitātes pārbaudi / </w:t>
      </w:r>
      <w:proofErr w:type="spellStart"/>
      <w:r>
        <w:rPr>
          <w:rFonts w:ascii="Times New Roman" w:eastAsia="Times New Roman" w:hAnsi="Times New Roman"/>
        </w:rPr>
        <w:t>izvērtējumu</w:t>
      </w:r>
      <w:proofErr w:type="spellEnd"/>
      <w:r>
        <w:rPr>
          <w:rFonts w:ascii="Times New Roman" w:eastAsia="Times New Roman" w:hAnsi="Times New Roman"/>
        </w:rPr>
        <w:t xml:space="preserve"> un nosakot kvalitātes vērtējuma līmeni kr</w:t>
      </w:r>
      <w:r>
        <w:rPr>
          <w:rFonts w:ascii="Times New Roman" w:eastAsia="Times New Roman" w:hAnsi="Times New Roman"/>
        </w:rPr>
        <w:t>itērijos “Mācīšana un mācīšanās”, “Pedagogu profesionālā kapacitāte”, “Izglītības programmu īstenošana” un “Infrastruktūra un resursi”;</w:t>
      </w:r>
    </w:p>
    <w:p w14:paraId="779A85CD" w14:textId="77777777" w:rsidR="00087872" w:rsidRDefault="00256B13">
      <w:pPr>
        <w:pStyle w:val="Sarakstarindkopa"/>
        <w:tabs>
          <w:tab w:val="left" w:pos="567"/>
        </w:tabs>
        <w:ind w:left="0"/>
        <w:contextualSpacing w:val="0"/>
      </w:pPr>
      <w:r>
        <w:rPr>
          <w:rFonts w:ascii="Times New Roman" w:eastAsia="Times New Roman" w:hAnsi="Times New Roman"/>
        </w:rPr>
        <w:t>4.</w:t>
      </w:r>
      <w:r>
        <w:rPr>
          <w:rFonts w:ascii="Times New Roman" w:eastAsia="Times New Roman" w:hAnsi="Times New Roman"/>
        </w:rPr>
        <w:tab/>
        <w:t>Izvērtēt izglītības kvalitāti izglītības iestādēs, kuras pamatizglītības programmu 1.-3. klasē īsteno tālmācībā.</w:t>
      </w:r>
    </w:p>
    <w:p w14:paraId="7E0C021B" w14:textId="77777777" w:rsidR="00087872" w:rsidRDefault="00256B13">
      <w:pPr>
        <w:pStyle w:val="Sarakstarindkopa"/>
        <w:tabs>
          <w:tab w:val="left" w:pos="567"/>
        </w:tabs>
        <w:ind w:left="0"/>
        <w:contextualSpacing w:val="0"/>
        <w:rPr>
          <w:rFonts w:ascii="Times New Roman" w:eastAsia="Times New Roman" w:hAnsi="Times New Roman"/>
        </w:rPr>
      </w:pPr>
      <w:r>
        <w:rPr>
          <w:rFonts w:ascii="Times New Roman" w:eastAsia="Times New Roman" w:hAnsi="Times New Roman"/>
        </w:rPr>
        <w:t>2022</w:t>
      </w:r>
      <w:r>
        <w:rPr>
          <w:rFonts w:ascii="Times New Roman" w:eastAsia="Times New Roman" w:hAnsi="Times New Roman"/>
        </w:rPr>
        <w:t>. gadā kvalitātes dienesta pārstāvji veica 60 izglītības iestāžu apmeklējumus, t.sk. apmeklējumi īstenoti 50 vispārējās izglītības iestādēs, 2 profesionālās izglītības iestādēs, 3 profesionālās ievirzes izglītības iestādēs, 4 pirmsskolas izglītības iestādē</w:t>
      </w:r>
      <w:r>
        <w:rPr>
          <w:rFonts w:ascii="Times New Roman" w:eastAsia="Times New Roman" w:hAnsi="Times New Roman"/>
        </w:rPr>
        <w:t xml:space="preserve">s, 1 mācību centrā (profesionālās pilnveides un tālākizglītības programmas). </w:t>
      </w:r>
    </w:p>
    <w:p w14:paraId="2DB9B0BC" w14:textId="77777777" w:rsidR="00087872" w:rsidRDefault="00256B13">
      <w:pPr>
        <w:pStyle w:val="Sarakstarindkopa"/>
        <w:tabs>
          <w:tab w:val="left" w:pos="567"/>
        </w:tabs>
        <w:ind w:left="0"/>
        <w:rPr>
          <w:rFonts w:ascii="Times New Roman" w:eastAsia="Times New Roman" w:hAnsi="Times New Roman"/>
        </w:rPr>
      </w:pPr>
      <w:r>
        <w:rPr>
          <w:rFonts w:ascii="Times New Roman" w:eastAsia="Times New Roman" w:hAnsi="Times New Roman"/>
        </w:rPr>
        <w:t xml:space="preserve">Secinājumi par izglītības iestāžu apmeklējumu rezultātiem: </w:t>
      </w:r>
    </w:p>
    <w:p w14:paraId="47BDD791" w14:textId="77777777" w:rsidR="00087872" w:rsidRDefault="00256B13">
      <w:pPr>
        <w:pStyle w:val="Sarakstarindkopa"/>
        <w:numPr>
          <w:ilvl w:val="3"/>
          <w:numId w:val="10"/>
        </w:numPr>
        <w:tabs>
          <w:tab w:val="left" w:pos="567"/>
        </w:tabs>
        <w:ind w:left="0" w:firstLine="0"/>
        <w:rPr>
          <w:rFonts w:ascii="Times New Roman" w:hAnsi="Times New Roman"/>
        </w:rPr>
      </w:pPr>
      <w:r>
        <w:rPr>
          <w:rFonts w:ascii="Times New Roman" w:hAnsi="Times New Roman"/>
        </w:rPr>
        <w:t xml:space="preserve">Iestādēs, kurās akreditācija bija pirms </w:t>
      </w:r>
      <w:r>
        <w:rPr>
          <w:rFonts w:ascii="Times New Roman" w:hAnsi="Times New Roman"/>
        </w:rPr>
        <w:t>4</w:t>
      </w:r>
      <w:r>
        <w:rPr>
          <w:rFonts w:ascii="Times New Roman" w:hAnsi="Times New Roman"/>
        </w:rPr>
        <w:t xml:space="preserve"> gadiem, akreditācijas ekspertu komisijas sniegtās rekomendācijas pamatā ir izpildītas;</w:t>
      </w:r>
    </w:p>
    <w:p w14:paraId="5903A327" w14:textId="77777777" w:rsidR="00087872" w:rsidRDefault="00256B13">
      <w:pPr>
        <w:pStyle w:val="Sarakstarindkopa"/>
        <w:numPr>
          <w:ilvl w:val="3"/>
          <w:numId w:val="10"/>
        </w:numPr>
        <w:tabs>
          <w:tab w:val="left" w:pos="567"/>
        </w:tabs>
        <w:ind w:left="0" w:firstLine="0"/>
        <w:rPr>
          <w:rFonts w:ascii="Times New Roman" w:hAnsi="Times New Roman"/>
        </w:rPr>
      </w:pPr>
      <w:r>
        <w:rPr>
          <w:rFonts w:ascii="Times New Roman" w:hAnsi="Times New Roman"/>
        </w:rPr>
        <w:t>Lielākajai daļai vadītāju, kuru profesionālās darbības novērtēšanā bija viens vai vairāki kvalitātes vērtējuma līmeņi “Jāpilnveido”, turpinās ekspertu komisijas sniegto</w:t>
      </w:r>
      <w:r>
        <w:rPr>
          <w:rFonts w:ascii="Times New Roman" w:hAnsi="Times New Roman"/>
        </w:rPr>
        <w:t xml:space="preserve"> rekomendāciju ieviešana izglītības iestādes darba plānošanas jautājumos;</w:t>
      </w:r>
    </w:p>
    <w:p w14:paraId="7B96E1F6" w14:textId="77777777" w:rsidR="00087872" w:rsidRDefault="00256B13">
      <w:pPr>
        <w:pStyle w:val="Sarakstarindkopa"/>
        <w:numPr>
          <w:ilvl w:val="3"/>
          <w:numId w:val="10"/>
        </w:numPr>
        <w:tabs>
          <w:tab w:val="left" w:pos="567"/>
        </w:tabs>
        <w:ind w:left="0" w:firstLine="0"/>
        <w:rPr>
          <w:rFonts w:ascii="Times New Roman" w:hAnsi="Times New Roman"/>
        </w:rPr>
      </w:pPr>
      <w:r>
        <w:rPr>
          <w:rFonts w:ascii="Times New Roman" w:hAnsi="Times New Roman"/>
        </w:rPr>
        <w:t xml:space="preserve">Izglītības iestādēs, kurās beidzas </w:t>
      </w:r>
      <w:r>
        <w:rPr>
          <w:rFonts w:ascii="Times New Roman" w:hAnsi="Times New Roman"/>
        </w:rPr>
        <w:t>2</w:t>
      </w:r>
      <w:r>
        <w:rPr>
          <w:rFonts w:ascii="Times New Roman" w:hAnsi="Times New Roman"/>
        </w:rPr>
        <w:t xml:space="preserve"> gadu termiņš pēc izglītības programmu akreditācijas, veicot izglītības programmu īstenošanas kvalitātes pārbaudi, kritērijos “Mācīšana un mācīšan</w:t>
      </w:r>
      <w:r>
        <w:rPr>
          <w:rFonts w:ascii="Times New Roman" w:hAnsi="Times New Roman"/>
        </w:rPr>
        <w:t>ās”, “Pedagogu profesionālā kapacitāte”, “Izglītības programmu īstenošana” un “Infrastruktūra un resursi” tika noteikts kvalitātes vērtējuma līmenis “Labi”;</w:t>
      </w:r>
    </w:p>
    <w:p w14:paraId="66678F8E" w14:textId="77777777" w:rsidR="00087872" w:rsidRDefault="00256B13">
      <w:pPr>
        <w:pStyle w:val="Sarakstarindkopa"/>
        <w:numPr>
          <w:ilvl w:val="3"/>
          <w:numId w:val="10"/>
        </w:numPr>
        <w:tabs>
          <w:tab w:val="left" w:pos="567"/>
        </w:tabs>
        <w:ind w:left="0" w:firstLine="0"/>
        <w:contextualSpacing w:val="0"/>
        <w:rPr>
          <w:rFonts w:ascii="Times New Roman" w:hAnsi="Times New Roman"/>
        </w:rPr>
      </w:pPr>
      <w:r>
        <w:rPr>
          <w:rFonts w:ascii="Times New Roman" w:hAnsi="Times New Roman"/>
        </w:rPr>
        <w:t>Izglītības kvalitāte izglītības iestādēs, kuras pamatizglītības programmu 1.-3. klasē īsteno tālmāc</w:t>
      </w:r>
      <w:r>
        <w:rPr>
          <w:rFonts w:ascii="Times New Roman" w:hAnsi="Times New Roman"/>
        </w:rPr>
        <w:t>ībā, vērtējama kā zema. Izglītojamo mācību process neatbilst tālmācības apguves principiem pēc būtības, jo mācīšanās prasmju trūkuma dēļ to nav iespējams īstenot bez vecāku regulāras iesaistes, kā arī mācībām tiek piesaistīti privātskolotāji.</w:t>
      </w:r>
    </w:p>
    <w:p w14:paraId="2DFB17B9" w14:textId="77777777" w:rsidR="00087872" w:rsidRDefault="00256B13">
      <w:pPr>
        <w:pStyle w:val="Sarakstarindkopa"/>
        <w:tabs>
          <w:tab w:val="left" w:pos="567"/>
        </w:tabs>
        <w:ind w:left="0"/>
      </w:pPr>
      <w:r>
        <w:rPr>
          <w:rFonts w:ascii="Times New Roman" w:eastAsia="Times New Roman" w:hAnsi="Times New Roman"/>
        </w:rPr>
        <w:t>Pēc apmeklēju</w:t>
      </w:r>
      <w:r>
        <w:rPr>
          <w:rFonts w:ascii="Times New Roman" w:eastAsia="Times New Roman" w:hAnsi="Times New Roman"/>
        </w:rPr>
        <w:t>ma 23 izglītības iestādes saņēma kvalitātes dienesta vēstules par papildu uzdevumiem izglītības kvalitātes nodrošināšanā. Pamatā rekomendācijas tika sniegtas par:</w:t>
      </w:r>
    </w:p>
    <w:p w14:paraId="14C9E595" w14:textId="77777777" w:rsidR="00087872" w:rsidRDefault="00256B13">
      <w:pPr>
        <w:pStyle w:val="Sarakstarindkopa"/>
        <w:tabs>
          <w:tab w:val="left" w:pos="567"/>
        </w:tabs>
        <w:ind w:left="0"/>
      </w:pPr>
      <w:r>
        <w:rPr>
          <w:rFonts w:ascii="Times New Roman" w:eastAsia="Times New Roman" w:hAnsi="Times New Roman"/>
        </w:rPr>
        <w:t>1.</w:t>
      </w:r>
      <w:r>
        <w:rPr>
          <w:rFonts w:ascii="Times New Roman" w:eastAsia="Times New Roman" w:hAnsi="Times New Roman"/>
        </w:rPr>
        <w:tab/>
        <w:t>Mūsdienīga un efektīva mācību procesa īstenošanu;</w:t>
      </w:r>
    </w:p>
    <w:p w14:paraId="207942A6" w14:textId="77777777" w:rsidR="00087872" w:rsidRDefault="00256B13">
      <w:pPr>
        <w:pStyle w:val="Sarakstarindkopa"/>
        <w:tabs>
          <w:tab w:val="left" w:pos="567"/>
        </w:tabs>
        <w:ind w:left="0"/>
      </w:pPr>
      <w:r>
        <w:rPr>
          <w:rFonts w:ascii="Times New Roman" w:eastAsia="Times New Roman" w:hAnsi="Times New Roman"/>
        </w:rPr>
        <w:t>2.</w:t>
      </w:r>
      <w:r>
        <w:rPr>
          <w:rFonts w:ascii="Times New Roman" w:eastAsia="Times New Roman" w:hAnsi="Times New Roman"/>
        </w:rPr>
        <w:tab/>
        <w:t>Pedagogu profesionālās kvalifikācijas</w:t>
      </w:r>
      <w:r>
        <w:rPr>
          <w:rFonts w:ascii="Times New Roman" w:eastAsia="Times New Roman" w:hAnsi="Times New Roman"/>
        </w:rPr>
        <w:t xml:space="preserve"> un profesionālās kompetences pilnveides nodrošināšanu;</w:t>
      </w:r>
    </w:p>
    <w:p w14:paraId="66FE92A6" w14:textId="77777777" w:rsidR="00087872" w:rsidRDefault="00256B13">
      <w:pPr>
        <w:pStyle w:val="Sarakstarindkopa"/>
        <w:tabs>
          <w:tab w:val="left" w:pos="567"/>
        </w:tabs>
        <w:ind w:left="0"/>
      </w:pPr>
      <w:r>
        <w:rPr>
          <w:rFonts w:ascii="Times New Roman" w:eastAsia="Times New Roman" w:hAnsi="Times New Roman"/>
        </w:rPr>
        <w:t>3.</w:t>
      </w:r>
      <w:r>
        <w:rPr>
          <w:rFonts w:ascii="Times New Roman" w:eastAsia="Times New Roman" w:hAnsi="Times New Roman"/>
        </w:rPr>
        <w:tab/>
        <w:t xml:space="preserve">Izglītības iestādes vadības prasmēm veikt stratēģiskās attīstības un prioritāšu plānošanu, izveidojot sistēmu, kas pamatojas </w:t>
      </w:r>
      <w:proofErr w:type="spellStart"/>
      <w:r>
        <w:rPr>
          <w:rFonts w:ascii="Times New Roman" w:eastAsia="Times New Roman" w:hAnsi="Times New Roman"/>
        </w:rPr>
        <w:t>pašvērtēšanā</w:t>
      </w:r>
      <w:proofErr w:type="spellEnd"/>
      <w:r>
        <w:rPr>
          <w:rFonts w:ascii="Times New Roman" w:eastAsia="Times New Roman" w:hAnsi="Times New Roman"/>
        </w:rPr>
        <w:t xml:space="preserve"> iegūtajos datos un izglītības iestādes definētajā misijā, v</w:t>
      </w:r>
      <w:r>
        <w:rPr>
          <w:rFonts w:ascii="Times New Roman" w:eastAsia="Times New Roman" w:hAnsi="Times New Roman"/>
        </w:rPr>
        <w:t>īzijā un vērtībās.</w:t>
      </w:r>
    </w:p>
    <w:p w14:paraId="4F4CDAEC" w14:textId="77777777" w:rsidR="00087872" w:rsidRDefault="00087872">
      <w:pPr>
        <w:pStyle w:val="Sarakstarindkopa"/>
        <w:tabs>
          <w:tab w:val="left" w:pos="567"/>
        </w:tabs>
        <w:ind w:left="0"/>
        <w:contextualSpacing w:val="0"/>
        <w:rPr>
          <w:rFonts w:ascii="Times New Roman" w:eastAsia="Times New Roman" w:hAnsi="Times New Roman"/>
        </w:rPr>
      </w:pPr>
    </w:p>
    <w:p w14:paraId="527769CC" w14:textId="77777777" w:rsidR="00087872" w:rsidRDefault="00256B13">
      <w:pPr>
        <w:pStyle w:val="virsraksts60"/>
      </w:pPr>
      <w:r>
        <w:rPr>
          <w:sz w:val="24"/>
        </w:rPr>
        <w:t xml:space="preserve">Ikgadējais </w:t>
      </w:r>
      <w:proofErr w:type="spellStart"/>
      <w:r>
        <w:rPr>
          <w:sz w:val="24"/>
        </w:rPr>
        <w:t>izvērtējums</w:t>
      </w:r>
      <w:proofErr w:type="spellEnd"/>
      <w:r>
        <w:rPr>
          <w:sz w:val="24"/>
        </w:rPr>
        <w:t xml:space="preserve"> par izglītības kvalitāti vispārējā un profesionālajā izglītībā </w:t>
      </w:r>
    </w:p>
    <w:p w14:paraId="4A229DB0" w14:textId="77777777" w:rsidR="00087872" w:rsidRDefault="00256B13">
      <w:pPr>
        <w:pStyle w:val="Sarakstarindkopa"/>
        <w:tabs>
          <w:tab w:val="left" w:pos="567"/>
        </w:tabs>
        <w:ind w:left="0"/>
        <w:contextualSpacing w:val="0"/>
      </w:pPr>
      <w:r>
        <w:rPr>
          <w:rFonts w:ascii="Times New Roman" w:eastAsia="Times New Roman" w:hAnsi="Times New Roman"/>
          <w:lang w:eastAsia="en-US"/>
        </w:rPr>
        <w:t>Izglītības kvalitātes valsts dienests atbilstoši Izglītības likuma 20. panta trešās daļas 9. punkta noteiktajam ir izstrādājis ikgadējo “</w:t>
      </w:r>
      <w:proofErr w:type="spellStart"/>
      <w:r>
        <w:rPr>
          <w:rFonts w:ascii="Times New Roman" w:eastAsia="Times New Roman" w:hAnsi="Times New Roman"/>
          <w:lang w:eastAsia="en-US"/>
        </w:rPr>
        <w:t>Izvērtējumu</w:t>
      </w:r>
      <w:proofErr w:type="spellEnd"/>
      <w:r>
        <w:rPr>
          <w:rFonts w:ascii="Times New Roman" w:eastAsia="Times New Roman" w:hAnsi="Times New Roman"/>
          <w:lang w:eastAsia="en-US"/>
        </w:rPr>
        <w:t xml:space="preserve"> </w:t>
      </w:r>
      <w:r>
        <w:rPr>
          <w:rFonts w:ascii="Times New Roman" w:eastAsia="Times New Roman" w:hAnsi="Times New Roman"/>
          <w:lang w:eastAsia="en-US"/>
        </w:rPr>
        <w:t xml:space="preserve">par izglītības kvalitāti vispārējā un profesionālajā izglītībā” (turpmāk – </w:t>
      </w:r>
      <w:proofErr w:type="spellStart"/>
      <w:r>
        <w:rPr>
          <w:rFonts w:ascii="Times New Roman" w:eastAsia="Times New Roman" w:hAnsi="Times New Roman"/>
          <w:lang w:eastAsia="en-US"/>
        </w:rPr>
        <w:t>Izvērtējums</w:t>
      </w:r>
      <w:proofErr w:type="spellEnd"/>
      <w:r>
        <w:rPr>
          <w:rStyle w:val="FootnoteAnchor"/>
          <w:rFonts w:ascii="Times New Roman" w:eastAsia="Times New Roman" w:hAnsi="Times New Roman"/>
          <w:lang w:eastAsia="en-US"/>
        </w:rPr>
        <w:footnoteReference w:id="1"/>
      </w:r>
      <w:r>
        <w:rPr>
          <w:rFonts w:ascii="Times New Roman" w:eastAsia="Times New Roman" w:hAnsi="Times New Roman"/>
          <w:lang w:eastAsia="en-US"/>
        </w:rPr>
        <w:t xml:space="preserve">) par 2022. gadu un iesniedzis to IZM. </w:t>
      </w:r>
      <w:proofErr w:type="spellStart"/>
      <w:r>
        <w:rPr>
          <w:rFonts w:ascii="Times New Roman" w:eastAsia="Times New Roman" w:hAnsi="Times New Roman"/>
          <w:lang w:eastAsia="en-US"/>
        </w:rPr>
        <w:t>Izvērtējuma</w:t>
      </w:r>
      <w:proofErr w:type="spellEnd"/>
      <w:r>
        <w:rPr>
          <w:rFonts w:ascii="Times New Roman" w:eastAsia="Times New Roman" w:hAnsi="Times New Roman"/>
          <w:lang w:eastAsia="en-US"/>
        </w:rPr>
        <w:t xml:space="preserve"> pamatā ir Izglītības likuma 1. panta </w:t>
      </w:r>
      <w:r>
        <w:rPr>
          <w:rFonts w:ascii="Times New Roman" w:hAnsi="Times New Roman"/>
          <w:shd w:val="clear" w:color="auto" w:fill="FFFFFF"/>
        </w:rPr>
        <w:t>7</w:t>
      </w:r>
      <w:r>
        <w:rPr>
          <w:rFonts w:ascii="Times New Roman" w:hAnsi="Times New Roman"/>
          <w:shd w:val="clear" w:color="auto" w:fill="FFFFFF"/>
          <w:vertAlign w:val="superscript"/>
        </w:rPr>
        <w:t>1</w:t>
      </w:r>
      <w:r>
        <w:rPr>
          <w:rFonts w:ascii="Times New Roman" w:hAnsi="Times New Roman"/>
          <w:shd w:val="clear" w:color="auto" w:fill="FFFFFF"/>
        </w:rPr>
        <w:t>.</w:t>
      </w:r>
      <w:r>
        <w:rPr>
          <w:rFonts w:ascii="Times New Roman" w:eastAsia="Times New Roman" w:hAnsi="Times New Roman"/>
          <w:lang w:eastAsia="en-US"/>
        </w:rPr>
        <w:t> punktā iekļautā izglītības kvalitātes definīcija: “Izglītības kvalitāte – iz</w:t>
      </w:r>
      <w:r>
        <w:rPr>
          <w:rFonts w:ascii="Times New Roman" w:eastAsia="Times New Roman" w:hAnsi="Times New Roman"/>
          <w:lang w:eastAsia="en-US"/>
        </w:rPr>
        <w:t xml:space="preserve">glītības process, saturs, vide un pārvaldība, kas ikvienam nodrošina iekļaujošu izglītību un iespēju sasniegt augstvērtīgus rezultātus atbilstoši sabiedrības izvirzītajiem un valsts noteiktajiem mērķiem”. 2022. gada </w:t>
      </w:r>
      <w:proofErr w:type="spellStart"/>
      <w:r>
        <w:rPr>
          <w:rFonts w:ascii="Times New Roman" w:eastAsia="Times New Roman" w:hAnsi="Times New Roman"/>
          <w:lang w:eastAsia="en-US"/>
        </w:rPr>
        <w:t>Izvērtējums</w:t>
      </w:r>
      <w:proofErr w:type="spellEnd"/>
      <w:r>
        <w:rPr>
          <w:rFonts w:ascii="Times New Roman" w:eastAsia="Times New Roman" w:hAnsi="Times New Roman"/>
          <w:lang w:eastAsia="en-US"/>
        </w:rPr>
        <w:t xml:space="preserve"> apkopo kvalitātes dienesta 2</w:t>
      </w:r>
      <w:r>
        <w:rPr>
          <w:rFonts w:ascii="Times New Roman" w:eastAsia="Times New Roman" w:hAnsi="Times New Roman"/>
          <w:lang w:eastAsia="en-US"/>
        </w:rPr>
        <w:t xml:space="preserve">021. / 2022. mācību gadā iegūto informāciju un datus par izglītības kvalitāti vispārējā un profesionālajā izglītībā. Par </w:t>
      </w:r>
      <w:proofErr w:type="spellStart"/>
      <w:r>
        <w:rPr>
          <w:rFonts w:ascii="Times New Roman" w:eastAsia="Times New Roman" w:hAnsi="Times New Roman"/>
          <w:lang w:eastAsia="en-US"/>
        </w:rPr>
        <w:t>Izvērtējuma</w:t>
      </w:r>
      <w:proofErr w:type="spellEnd"/>
      <w:r>
        <w:rPr>
          <w:rFonts w:ascii="Times New Roman" w:eastAsia="Times New Roman" w:hAnsi="Times New Roman"/>
          <w:lang w:eastAsia="en-US"/>
        </w:rPr>
        <w:t xml:space="preserve"> </w:t>
      </w:r>
      <w:proofErr w:type="spellStart"/>
      <w:r>
        <w:rPr>
          <w:rFonts w:ascii="Times New Roman" w:eastAsia="Times New Roman" w:hAnsi="Times New Roman"/>
          <w:lang w:eastAsia="en-US"/>
        </w:rPr>
        <w:t>pamattematu</w:t>
      </w:r>
      <w:proofErr w:type="spellEnd"/>
      <w:r>
        <w:rPr>
          <w:rFonts w:ascii="Times New Roman" w:eastAsia="Times New Roman" w:hAnsi="Times New Roman"/>
          <w:lang w:eastAsia="en-US"/>
        </w:rPr>
        <w:t xml:space="preserve"> izvēlēta laba pārvaldība.</w:t>
      </w:r>
    </w:p>
    <w:p w14:paraId="2D0835F7" w14:textId="77777777" w:rsidR="00087872" w:rsidRDefault="00256B13">
      <w:pPr>
        <w:pStyle w:val="Sarakstarindkopa"/>
        <w:tabs>
          <w:tab w:val="left" w:pos="567"/>
        </w:tabs>
        <w:ind w:left="0"/>
      </w:pPr>
      <w:r>
        <w:rPr>
          <w:rFonts w:ascii="Times New Roman" w:eastAsia="Times New Roman" w:hAnsi="Times New Roman"/>
          <w:lang w:eastAsia="en-US"/>
        </w:rPr>
        <w:t xml:space="preserve">2022. gada </w:t>
      </w:r>
      <w:proofErr w:type="spellStart"/>
      <w:r>
        <w:rPr>
          <w:rFonts w:ascii="Times New Roman" w:eastAsia="Times New Roman" w:hAnsi="Times New Roman"/>
          <w:lang w:eastAsia="en-US"/>
        </w:rPr>
        <w:t>Izvērtējums</w:t>
      </w:r>
      <w:proofErr w:type="spellEnd"/>
      <w:r>
        <w:rPr>
          <w:rFonts w:ascii="Times New Roman" w:eastAsia="Times New Roman" w:hAnsi="Times New Roman"/>
          <w:lang w:eastAsia="en-US"/>
        </w:rPr>
        <w:t xml:space="preserve"> ļauj izdarīt šādus galvenos secinājumus par izglītības kvalitā</w:t>
      </w:r>
      <w:r>
        <w:rPr>
          <w:rFonts w:ascii="Times New Roman" w:eastAsia="Times New Roman" w:hAnsi="Times New Roman"/>
          <w:lang w:eastAsia="en-US"/>
        </w:rPr>
        <w:t>ti Latvijā:</w:t>
      </w:r>
    </w:p>
    <w:p w14:paraId="2F0B1415" w14:textId="77777777" w:rsidR="00087872" w:rsidRDefault="00256B13">
      <w:pPr>
        <w:pStyle w:val="Sarakstarindkopa"/>
        <w:tabs>
          <w:tab w:val="left" w:pos="567"/>
        </w:tabs>
        <w:ind w:left="0"/>
      </w:pPr>
      <w:r>
        <w:rPr>
          <w:rFonts w:ascii="Times New Roman" w:eastAsia="Times New Roman" w:hAnsi="Times New Roman"/>
          <w:lang w:eastAsia="en-US"/>
        </w:rPr>
        <w:t>1.</w:t>
      </w:r>
      <w:r>
        <w:rPr>
          <w:rFonts w:ascii="Times New Roman" w:eastAsia="Times New Roman" w:hAnsi="Times New Roman"/>
          <w:lang w:eastAsia="en-US"/>
        </w:rPr>
        <w:tab/>
        <w:t>Gandrīz visas Latvijas izglītības iestādes pēctecīgi ievieš valstī uzsāktās izglītības reformas, kuras tostarp ir noteiktas Izglītības attīstības pamatnostādnēs 2022. – 2027. gadam un nostiprinātas izglītību regulējošos normatīvajos aktos;</w:t>
      </w:r>
    </w:p>
    <w:p w14:paraId="570E2AD1" w14:textId="77777777" w:rsidR="00087872" w:rsidRDefault="00256B13">
      <w:pPr>
        <w:pStyle w:val="Sarakstarindkopa"/>
        <w:tabs>
          <w:tab w:val="left" w:pos="567"/>
        </w:tabs>
        <w:ind w:left="0"/>
      </w:pPr>
      <w:r>
        <w:rPr>
          <w:rFonts w:ascii="Times New Roman" w:eastAsia="Times New Roman" w:hAnsi="Times New Roman"/>
          <w:lang w:eastAsia="en-US"/>
        </w:rPr>
        <w:t>2</w:t>
      </w:r>
      <w:r>
        <w:rPr>
          <w:rFonts w:ascii="Times New Roman" w:eastAsia="Times New Roman" w:hAnsi="Times New Roman"/>
          <w:lang w:eastAsia="en-US"/>
        </w:rPr>
        <w:t>.</w:t>
      </w:r>
      <w:r>
        <w:rPr>
          <w:rFonts w:ascii="Times New Roman" w:eastAsia="Times New Roman" w:hAnsi="Times New Roman"/>
          <w:lang w:eastAsia="en-US"/>
        </w:rPr>
        <w:tab/>
        <w:t>Būtiskākie pilnveidojamie aspekti izglītības iestāžu darbā 2021. / 2022. mācību gadā ir saistāmi ar: (i) valsts valodas prasmju nodrošināšanu pedagogiem un atbalsta personālam izglītības iestādēs, kurās tiek īstenotas mazākumtautību izglītības programmas</w:t>
      </w:r>
      <w:r>
        <w:rPr>
          <w:rFonts w:ascii="Times New Roman" w:eastAsia="Times New Roman" w:hAnsi="Times New Roman"/>
          <w:lang w:eastAsia="en-US"/>
        </w:rPr>
        <w:t xml:space="preserve">, (ii) vērtēšanas paradigmas maiņu, īstenojot kompetenču pieeju izglītībā un palielinot </w:t>
      </w:r>
      <w:proofErr w:type="spellStart"/>
      <w:r>
        <w:rPr>
          <w:rFonts w:ascii="Times New Roman" w:eastAsia="Times New Roman" w:hAnsi="Times New Roman"/>
          <w:lang w:eastAsia="en-US"/>
        </w:rPr>
        <w:t>formatīvās</w:t>
      </w:r>
      <w:proofErr w:type="spellEnd"/>
      <w:r>
        <w:rPr>
          <w:rFonts w:ascii="Times New Roman" w:eastAsia="Times New Roman" w:hAnsi="Times New Roman"/>
          <w:lang w:eastAsia="en-US"/>
        </w:rPr>
        <w:t xml:space="preserve"> vērtēšanas apjomu, kā arī veicot </w:t>
      </w:r>
      <w:proofErr w:type="spellStart"/>
      <w:r>
        <w:rPr>
          <w:rFonts w:ascii="Times New Roman" w:eastAsia="Times New Roman" w:hAnsi="Times New Roman"/>
          <w:lang w:eastAsia="en-US"/>
        </w:rPr>
        <w:t>summatīvo</w:t>
      </w:r>
      <w:proofErr w:type="spellEnd"/>
      <w:r>
        <w:rPr>
          <w:rFonts w:ascii="Times New Roman" w:eastAsia="Times New Roman" w:hAnsi="Times New Roman"/>
          <w:lang w:eastAsia="en-US"/>
        </w:rPr>
        <w:t xml:space="preserve"> vērtēšanu atbilstoši normatīvajos aktos noteiktajām prasībām, (iii) atbalsta nodrošināšanu izglītojamiem un mācību</w:t>
      </w:r>
      <w:r>
        <w:rPr>
          <w:rFonts w:ascii="Times New Roman" w:eastAsia="Times New Roman" w:hAnsi="Times New Roman"/>
          <w:lang w:eastAsia="en-US"/>
        </w:rPr>
        <w:t xml:space="preserve"> procesa organizāciju ārkārtējās situācijas laikā;</w:t>
      </w:r>
    </w:p>
    <w:p w14:paraId="558D6ED0" w14:textId="77777777" w:rsidR="00087872" w:rsidRDefault="00256B13">
      <w:pPr>
        <w:pStyle w:val="Sarakstarindkopa"/>
        <w:tabs>
          <w:tab w:val="left" w:pos="567"/>
        </w:tabs>
        <w:ind w:left="0"/>
      </w:pPr>
      <w:r>
        <w:rPr>
          <w:rFonts w:ascii="Times New Roman" w:eastAsia="Times New Roman" w:hAnsi="Times New Roman"/>
          <w:lang w:eastAsia="en-US"/>
        </w:rPr>
        <w:t>3.</w:t>
      </w:r>
      <w:r>
        <w:rPr>
          <w:rFonts w:ascii="Times New Roman" w:eastAsia="Times New Roman" w:hAnsi="Times New Roman"/>
          <w:lang w:eastAsia="en-US"/>
        </w:rPr>
        <w:tab/>
        <w:t>Būtiskākie aspekti, kuri ietekmē izglītības iestāžu spēju īstenot nepieciešamās pārmaiņas un nodrošināt izglītības iestāžu darbības kvalitāti un tiesiskumu 2021. / 2022. mācību gadā, ir saistāmi ar: (i)</w:t>
      </w:r>
      <w:r>
        <w:rPr>
          <w:rFonts w:ascii="Times New Roman" w:eastAsia="Times New Roman" w:hAnsi="Times New Roman"/>
          <w:lang w:eastAsia="en-US"/>
        </w:rPr>
        <w:t xml:space="preserve"> izglītības iestādes vadītāju prasmi īstenot datos un informācijā par izglītības iestādi pamatotu pārmaiņu vadību, (iii) sadarbības kvalitāti ar izglītības iestādes dibinātāju, (iv) mācību materiālu trūkumu kompetenču pieejas ieviešanā, īpaši attiecībā uz </w:t>
      </w:r>
      <w:r>
        <w:rPr>
          <w:rFonts w:ascii="Times New Roman" w:eastAsia="Times New Roman" w:hAnsi="Times New Roman"/>
          <w:lang w:eastAsia="en-US"/>
        </w:rPr>
        <w:t>vidējo izglītību, (v) karjeras izglītības kvalitāti pamatizglītībā un profesionālās ievirzes izglītībā;</w:t>
      </w:r>
    </w:p>
    <w:p w14:paraId="2DE10811" w14:textId="77777777" w:rsidR="00087872" w:rsidRDefault="00256B13">
      <w:pPr>
        <w:pStyle w:val="Sarakstarindkopa"/>
        <w:tabs>
          <w:tab w:val="left" w:pos="567"/>
        </w:tabs>
        <w:ind w:left="0"/>
      </w:pPr>
      <w:r>
        <w:rPr>
          <w:rFonts w:ascii="Times New Roman" w:eastAsia="Times New Roman" w:hAnsi="Times New Roman"/>
          <w:lang w:eastAsia="en-US"/>
        </w:rPr>
        <w:t>4.</w:t>
      </w:r>
      <w:r>
        <w:rPr>
          <w:rFonts w:ascii="Times New Roman" w:eastAsia="Times New Roman" w:hAnsi="Times New Roman"/>
          <w:lang w:eastAsia="en-US"/>
        </w:rPr>
        <w:tab/>
        <w:t>Salīdzinot pēdējo trīs gadu laikā iegūtos datus un informāciju par izglītības kvalitāti, var konstatēt šādus uzlabojumus: (i) par 30% pieaugusi izglī</w:t>
      </w:r>
      <w:r>
        <w:rPr>
          <w:rFonts w:ascii="Times New Roman" w:eastAsia="Times New Roman" w:hAnsi="Times New Roman"/>
          <w:lang w:eastAsia="en-US"/>
        </w:rPr>
        <w:t>tības iestāžu izpratne par iespējām diferencēt, individualizēt izglītības procesu, (ii) par 20% pieaugusi izglītības iestāžu vadītāju izpratne par  vadīšanas un līderības jautājumiem, (iii) par 20% ir samazinājusies Covid-19 ietekme uz izglītības satura īs</w:t>
      </w:r>
      <w:r>
        <w:rPr>
          <w:rFonts w:ascii="Times New Roman" w:eastAsia="Times New Roman" w:hAnsi="Times New Roman"/>
          <w:lang w:eastAsia="en-US"/>
        </w:rPr>
        <w:t>tenošanu, (iv) būtiski pieaugusi visu iesaistīto pušu izpratne par 2021. gada 8. aprīļa Grozījumiem Izglītības likumā izglītības kvalitātes nodrošināšanai, (v) Covid-19 pandēmijas ietekmē turpina pieaugt izglītības iestāžu gatavība digitālajai transformāci</w:t>
      </w:r>
      <w:r>
        <w:rPr>
          <w:rFonts w:ascii="Times New Roman" w:eastAsia="Times New Roman" w:hAnsi="Times New Roman"/>
          <w:lang w:eastAsia="en-US"/>
        </w:rPr>
        <w:t>jai;</w:t>
      </w:r>
    </w:p>
    <w:p w14:paraId="2CFF3A3C" w14:textId="77777777" w:rsidR="00087872" w:rsidRDefault="00256B13">
      <w:pPr>
        <w:pStyle w:val="Sarakstarindkopa"/>
        <w:tabs>
          <w:tab w:val="left" w:pos="567"/>
        </w:tabs>
        <w:ind w:left="0"/>
        <w:contextualSpacing w:val="0"/>
      </w:pPr>
      <w:r>
        <w:rPr>
          <w:rFonts w:ascii="Times New Roman" w:eastAsia="Times New Roman" w:hAnsi="Times New Roman"/>
          <w:lang w:eastAsia="en-US"/>
        </w:rPr>
        <w:t>5.</w:t>
      </w:r>
      <w:r>
        <w:rPr>
          <w:rFonts w:ascii="Times New Roman" w:eastAsia="Times New Roman" w:hAnsi="Times New Roman"/>
          <w:lang w:eastAsia="en-US"/>
        </w:rPr>
        <w:tab/>
        <w:t xml:space="preserve">Salīdzinot pēdējo trīs gadu laikā iegūtos datus un informāciju par izglītības kvalitāti, var konstatēt, ka nepieciešams prioritāri pievērst uzmanību šādiem jautājumiem: (i) nav definēts minimālais infrastruktūras un materiāltehnisko resursu kopums </w:t>
      </w:r>
      <w:r>
        <w:rPr>
          <w:rFonts w:ascii="Times New Roman" w:eastAsia="Times New Roman" w:hAnsi="Times New Roman"/>
          <w:lang w:eastAsia="en-US"/>
        </w:rPr>
        <w:t>izglītības programmu sekmīgai īstenošanai vispārējā izglītībā, (ii) palielinās izglītības kvalitātes atšķirība mazajās (līdz 100 izglītojamiem, 100 – 250 izglītojamie) un lielajās izglītības iestādēs (vairāk nekā 600 izglītojamie), (iii) palielinās neskaid</w:t>
      </w:r>
      <w:r>
        <w:rPr>
          <w:rFonts w:ascii="Times New Roman" w:eastAsia="Times New Roman" w:hAnsi="Times New Roman"/>
          <w:lang w:eastAsia="en-US"/>
        </w:rPr>
        <w:t xml:space="preserve">rības saistībā ar </w:t>
      </w:r>
      <w:proofErr w:type="spellStart"/>
      <w:r>
        <w:rPr>
          <w:rFonts w:ascii="Times New Roman" w:eastAsia="Times New Roman" w:hAnsi="Times New Roman"/>
          <w:lang w:eastAsia="en-US"/>
        </w:rPr>
        <w:t>formatīvo</w:t>
      </w:r>
      <w:proofErr w:type="spellEnd"/>
      <w:r>
        <w:rPr>
          <w:rFonts w:ascii="Times New Roman" w:eastAsia="Times New Roman" w:hAnsi="Times New Roman"/>
          <w:lang w:eastAsia="en-US"/>
        </w:rPr>
        <w:t xml:space="preserve"> un </w:t>
      </w:r>
      <w:proofErr w:type="spellStart"/>
      <w:r>
        <w:rPr>
          <w:rFonts w:ascii="Times New Roman" w:eastAsia="Times New Roman" w:hAnsi="Times New Roman"/>
          <w:lang w:eastAsia="en-US"/>
        </w:rPr>
        <w:t>summatīvo</w:t>
      </w:r>
      <w:proofErr w:type="spellEnd"/>
      <w:r>
        <w:rPr>
          <w:rFonts w:ascii="Times New Roman" w:eastAsia="Times New Roman" w:hAnsi="Times New Roman"/>
          <w:lang w:eastAsia="en-US"/>
        </w:rPr>
        <w:t xml:space="preserve"> vērtēšanu, tostarp pārāk lielās atšķirības izglītības iestāžu vērtēšanas kārtībās, (iv) ilgstoši nesakārtota izglītības iestāžu tīkla dēļ turpina pieaugt pedagogu trūkums, (v) var konstatēt, ka katrā pašvaldībā veid</w:t>
      </w:r>
      <w:r>
        <w:rPr>
          <w:rFonts w:ascii="Times New Roman" w:eastAsia="Times New Roman" w:hAnsi="Times New Roman"/>
          <w:lang w:eastAsia="en-US"/>
        </w:rPr>
        <w:t>ojas 1-2 izglītības iestādes, kuras izvēlas īstenot iekļaujošu izglītību un kuras pašvaldības cenšas prioritāri nodrošināt ar nepieciešamo atbalsta personālu, tādējādi faktiski apdraudot ideju par iekļaujošas izglītības īstenošanu katrā izglītības iestādē,</w:t>
      </w:r>
      <w:r>
        <w:rPr>
          <w:rFonts w:ascii="Times New Roman" w:eastAsia="Times New Roman" w:hAnsi="Times New Roman"/>
          <w:lang w:eastAsia="en-US"/>
        </w:rPr>
        <w:t xml:space="preserve"> (vi) tālmācības un neklātienes izglītības programmu īstenošanas kvalitāti ietekmē izglītojamo </w:t>
      </w:r>
      <w:proofErr w:type="spellStart"/>
      <w:r>
        <w:rPr>
          <w:rFonts w:ascii="Times New Roman" w:eastAsia="Times New Roman" w:hAnsi="Times New Roman"/>
          <w:lang w:eastAsia="en-US"/>
        </w:rPr>
        <w:t>pašvadītas</w:t>
      </w:r>
      <w:proofErr w:type="spellEnd"/>
      <w:r>
        <w:rPr>
          <w:rFonts w:ascii="Times New Roman" w:eastAsia="Times New Roman" w:hAnsi="Times New Roman"/>
          <w:lang w:eastAsia="en-US"/>
        </w:rPr>
        <w:t xml:space="preserve"> mācīšanās prasmes, kuras ir minimālas izglītojamiem sākumizglītības posmā (īpaši tālmācībā), kā arī neklātienes izglītojamiem, kuri regulāri priekšlai</w:t>
      </w:r>
      <w:r>
        <w:rPr>
          <w:rFonts w:ascii="Times New Roman" w:eastAsia="Times New Roman" w:hAnsi="Times New Roman"/>
          <w:lang w:eastAsia="en-US"/>
        </w:rPr>
        <w:t>cīgi pārtrauc mācības un atkal atjauno savas mācības vairākus gadus pēc kārtas.</w:t>
      </w:r>
    </w:p>
    <w:p w14:paraId="5669E344" w14:textId="77777777" w:rsidR="00087872" w:rsidRDefault="00256B13">
      <w:pPr>
        <w:pStyle w:val="Sarakstarindkopa"/>
        <w:tabs>
          <w:tab w:val="left" w:pos="567"/>
        </w:tabs>
        <w:ind w:left="0"/>
      </w:pPr>
      <w:r>
        <w:rPr>
          <w:rFonts w:ascii="Times New Roman" w:eastAsia="Times New Roman" w:hAnsi="Times New Roman"/>
          <w:lang w:eastAsia="en-US"/>
        </w:rPr>
        <w:t>Ņemot vērā galvenos secinājumus, var konstatēt, ka izglītības kvalitātes nodrošināšanai un veicināšanai vispārējā un profesionālajā izglītībā nepieciešams:</w:t>
      </w:r>
    </w:p>
    <w:p w14:paraId="37408EE1" w14:textId="77777777" w:rsidR="00087872" w:rsidRDefault="00256B13">
      <w:pPr>
        <w:pStyle w:val="Sarakstarindkopa"/>
        <w:tabs>
          <w:tab w:val="left" w:pos="567"/>
        </w:tabs>
        <w:ind w:left="0"/>
      </w:pPr>
      <w:r>
        <w:rPr>
          <w:rFonts w:ascii="Times New Roman" w:eastAsia="Times New Roman" w:hAnsi="Times New Roman"/>
          <w:lang w:eastAsia="en-US"/>
        </w:rPr>
        <w:t>1.</w:t>
      </w:r>
      <w:r>
        <w:rPr>
          <w:rFonts w:ascii="Times New Roman" w:eastAsia="Times New Roman" w:hAnsi="Times New Roman"/>
          <w:lang w:eastAsia="en-US"/>
        </w:rPr>
        <w:tab/>
        <w:t xml:space="preserve">Tuvāko divu gadu </w:t>
      </w:r>
      <w:r>
        <w:rPr>
          <w:rFonts w:ascii="Times New Roman" w:eastAsia="Times New Roman" w:hAnsi="Times New Roman"/>
          <w:lang w:eastAsia="en-US"/>
        </w:rPr>
        <w:t>laikā pabeigt skolu tīkla konsolidāciju, lai iegūtu stabilu izglītības iestāžu tīklu;</w:t>
      </w:r>
    </w:p>
    <w:p w14:paraId="42B62C26" w14:textId="77777777" w:rsidR="00087872" w:rsidRDefault="00256B13">
      <w:pPr>
        <w:pStyle w:val="Sarakstarindkopa"/>
        <w:tabs>
          <w:tab w:val="left" w:pos="567"/>
        </w:tabs>
        <w:ind w:left="0"/>
      </w:pPr>
      <w:r>
        <w:rPr>
          <w:rFonts w:ascii="Times New Roman" w:eastAsia="Times New Roman" w:hAnsi="Times New Roman"/>
          <w:lang w:eastAsia="en-US"/>
        </w:rPr>
        <w:t>2.</w:t>
      </w:r>
      <w:r>
        <w:rPr>
          <w:rFonts w:ascii="Times New Roman" w:eastAsia="Times New Roman" w:hAnsi="Times New Roman"/>
          <w:lang w:eastAsia="en-US"/>
        </w:rPr>
        <w:tab/>
        <w:t>Veidot atbalsta materiālu un pasākumu kopumu izglītības iestāžu vadītājiem un vadības komandām, lai sekmētu pārmaiņu vadību, datu ieguves, apkopošanas un analīzes pras</w:t>
      </w:r>
      <w:r>
        <w:rPr>
          <w:rFonts w:ascii="Times New Roman" w:eastAsia="Times New Roman" w:hAnsi="Times New Roman"/>
          <w:lang w:eastAsia="en-US"/>
        </w:rPr>
        <w:t>mes, izglītības iestāžu sadarbības projektus izglītības iestāžu sekmīgai pārejai uz skolas kā mācīšanās organizācijas darbības pamatprincipiem;</w:t>
      </w:r>
    </w:p>
    <w:p w14:paraId="61C8828C" w14:textId="77777777" w:rsidR="00087872" w:rsidRDefault="00256B13">
      <w:pPr>
        <w:pStyle w:val="Sarakstarindkopa"/>
        <w:tabs>
          <w:tab w:val="left" w:pos="567"/>
        </w:tabs>
        <w:ind w:left="0"/>
      </w:pPr>
      <w:r>
        <w:rPr>
          <w:rFonts w:ascii="Times New Roman" w:eastAsia="Times New Roman" w:hAnsi="Times New Roman"/>
          <w:lang w:eastAsia="en-US"/>
        </w:rPr>
        <w:t>3.</w:t>
      </w:r>
      <w:r>
        <w:rPr>
          <w:rFonts w:ascii="Times New Roman" w:eastAsia="Times New Roman" w:hAnsi="Times New Roman"/>
          <w:lang w:eastAsia="en-US"/>
        </w:rPr>
        <w:tab/>
        <w:t>Izvērtēt normatīvajos aktos noteiktās funkcijas, tiesības un pienākumus izglītības iestāžu vadītājiem un dibi</w:t>
      </w:r>
      <w:r>
        <w:rPr>
          <w:rFonts w:ascii="Times New Roman" w:eastAsia="Times New Roman" w:hAnsi="Times New Roman"/>
          <w:lang w:eastAsia="en-US"/>
        </w:rPr>
        <w:t>nātājiem, meklējot veidus, kā veiksmīgāk sabalansēt izglītības iestāžu autonomiju un dibinātāja atbildību, vienlaikus mazinot birokrātiju un nodrošinot iestāžu vadītāju tiesības veidot savu vadības komandu profesionāla iestādes menedžmenta īstenošanai;</w:t>
      </w:r>
    </w:p>
    <w:p w14:paraId="64451F68" w14:textId="77777777" w:rsidR="00087872" w:rsidRDefault="00256B13">
      <w:pPr>
        <w:pStyle w:val="Sarakstarindkopa"/>
        <w:tabs>
          <w:tab w:val="left" w:pos="567"/>
        </w:tabs>
        <w:ind w:left="0"/>
      </w:pPr>
      <w:r>
        <w:rPr>
          <w:rFonts w:ascii="Times New Roman" w:eastAsia="Times New Roman" w:hAnsi="Times New Roman"/>
          <w:lang w:eastAsia="en-US"/>
        </w:rPr>
        <w:t>4.</w:t>
      </w:r>
      <w:r>
        <w:rPr>
          <w:rFonts w:ascii="Times New Roman" w:eastAsia="Times New Roman" w:hAnsi="Times New Roman"/>
          <w:lang w:eastAsia="en-US"/>
        </w:rPr>
        <w:tab/>
        <w:t>Izveidot izglītības iestādes vadītāja amata pienākumu apraksta paraugu, lai iegūtu vienotu visu iesaistīto pušu redzējumu par vadītāja amata pienākumiem;</w:t>
      </w:r>
    </w:p>
    <w:p w14:paraId="4AD2BDDC" w14:textId="77777777" w:rsidR="00087872" w:rsidRDefault="00256B13">
      <w:pPr>
        <w:pStyle w:val="Sarakstarindkopa"/>
        <w:tabs>
          <w:tab w:val="left" w:pos="567"/>
        </w:tabs>
        <w:ind w:left="0"/>
      </w:pPr>
      <w:r>
        <w:rPr>
          <w:rFonts w:ascii="Times New Roman" w:eastAsia="Times New Roman" w:hAnsi="Times New Roman"/>
          <w:lang w:eastAsia="en-US"/>
        </w:rPr>
        <w:t>5.</w:t>
      </w:r>
      <w:r>
        <w:rPr>
          <w:rFonts w:ascii="Times New Roman" w:eastAsia="Times New Roman" w:hAnsi="Times New Roman"/>
          <w:lang w:eastAsia="en-US"/>
        </w:rPr>
        <w:tab/>
        <w:t xml:space="preserve">Paplašināt praktiskās darbnīcas pedagogiem un izglītības iestāžu vadītājiem par </w:t>
      </w:r>
      <w:proofErr w:type="spellStart"/>
      <w:r>
        <w:rPr>
          <w:rFonts w:ascii="Times New Roman" w:eastAsia="Times New Roman" w:hAnsi="Times New Roman"/>
          <w:lang w:eastAsia="en-US"/>
        </w:rPr>
        <w:t>formatīvās</w:t>
      </w:r>
      <w:proofErr w:type="spellEnd"/>
      <w:r>
        <w:rPr>
          <w:rFonts w:ascii="Times New Roman" w:eastAsia="Times New Roman" w:hAnsi="Times New Roman"/>
          <w:lang w:eastAsia="en-US"/>
        </w:rPr>
        <w:t xml:space="preserve"> un </w:t>
      </w:r>
      <w:proofErr w:type="spellStart"/>
      <w:r>
        <w:rPr>
          <w:rFonts w:ascii="Times New Roman" w:eastAsia="Times New Roman" w:hAnsi="Times New Roman"/>
          <w:lang w:eastAsia="en-US"/>
        </w:rPr>
        <w:t>summatīvās</w:t>
      </w:r>
      <w:proofErr w:type="spellEnd"/>
      <w:r>
        <w:rPr>
          <w:rFonts w:ascii="Times New Roman" w:eastAsia="Times New Roman" w:hAnsi="Times New Roman"/>
          <w:lang w:eastAsia="en-US"/>
        </w:rPr>
        <w:t xml:space="preserve"> vērtēšanas jautājumiem visu veidu izglītības iestādēs;</w:t>
      </w:r>
    </w:p>
    <w:p w14:paraId="11CA7C0A" w14:textId="77777777" w:rsidR="00087872" w:rsidRDefault="00256B13">
      <w:pPr>
        <w:pStyle w:val="Sarakstarindkopa"/>
        <w:tabs>
          <w:tab w:val="left" w:pos="567"/>
        </w:tabs>
        <w:ind w:left="0"/>
      </w:pPr>
      <w:r>
        <w:rPr>
          <w:rFonts w:ascii="Times New Roman" w:eastAsia="Times New Roman" w:hAnsi="Times New Roman"/>
          <w:lang w:eastAsia="en-US"/>
        </w:rPr>
        <w:t>6.</w:t>
      </w:r>
      <w:r>
        <w:rPr>
          <w:rFonts w:ascii="Times New Roman" w:eastAsia="Times New Roman" w:hAnsi="Times New Roman"/>
          <w:lang w:eastAsia="en-US"/>
        </w:rPr>
        <w:tab/>
        <w:t>Veidot valsts vienotus pārbaudes darbu paraugus visos mācību priekšmetos, lai sniegtu metodisko atbalstu pedagogiem, sekmētu vienotu izpratni par izglītības programmā, mācīb</w:t>
      </w:r>
      <w:r>
        <w:rPr>
          <w:rFonts w:ascii="Times New Roman" w:eastAsia="Times New Roman" w:hAnsi="Times New Roman"/>
          <w:lang w:eastAsia="en-US"/>
        </w:rPr>
        <w:t>u priekšmetā, kursā, modulī u.tml. apgūstamo / sasniedzamajiem rezultātiem;</w:t>
      </w:r>
    </w:p>
    <w:p w14:paraId="20053A51" w14:textId="77777777" w:rsidR="00087872" w:rsidRDefault="00256B13">
      <w:pPr>
        <w:pStyle w:val="Sarakstarindkopa"/>
        <w:tabs>
          <w:tab w:val="left" w:pos="567"/>
        </w:tabs>
        <w:ind w:left="0"/>
      </w:pPr>
      <w:r>
        <w:rPr>
          <w:rFonts w:ascii="Times New Roman" w:eastAsia="Times New Roman" w:hAnsi="Times New Roman"/>
          <w:lang w:eastAsia="en-US"/>
        </w:rPr>
        <w:t>7.</w:t>
      </w:r>
      <w:r>
        <w:rPr>
          <w:rFonts w:ascii="Times New Roman" w:eastAsia="Times New Roman" w:hAnsi="Times New Roman"/>
          <w:lang w:eastAsia="en-US"/>
        </w:rPr>
        <w:tab/>
        <w:t>Izvērtēt iespēju mainīt esošo didaktisko pieeju sekmīgas iekļaujošas izglītības īstenošanai un ieviešanai Latvijā, iekļaujot kādā no nākamajiem Eiropas struktūrfondu finansētaji</w:t>
      </w:r>
      <w:r>
        <w:rPr>
          <w:rFonts w:ascii="Times New Roman" w:eastAsia="Times New Roman" w:hAnsi="Times New Roman"/>
          <w:lang w:eastAsia="en-US"/>
        </w:rPr>
        <w:t xml:space="preserve">em projektiem iespēju katrā izglītības iestādē nodrošināt mācības 3-4 pedagogiem, kuri apgūtu cita veida </w:t>
      </w:r>
      <w:proofErr w:type="spellStart"/>
      <w:r>
        <w:rPr>
          <w:rFonts w:ascii="Times New Roman" w:eastAsia="Times New Roman" w:hAnsi="Times New Roman"/>
          <w:lang w:eastAsia="en-US"/>
        </w:rPr>
        <w:t>klasvadības</w:t>
      </w:r>
      <w:proofErr w:type="spellEnd"/>
      <w:r>
        <w:rPr>
          <w:rFonts w:ascii="Times New Roman" w:eastAsia="Times New Roman" w:hAnsi="Times New Roman"/>
          <w:lang w:eastAsia="en-US"/>
        </w:rPr>
        <w:t xml:space="preserve"> sistēmu, strādājot ar dažādu un ļoti atšķirīgu līmeņu izglītojamiem vienā klasē vienlaicīgi;</w:t>
      </w:r>
    </w:p>
    <w:p w14:paraId="039AEF20" w14:textId="77777777" w:rsidR="00087872" w:rsidRDefault="00256B13">
      <w:pPr>
        <w:pStyle w:val="Sarakstarindkopa"/>
        <w:tabs>
          <w:tab w:val="left" w:pos="567"/>
        </w:tabs>
        <w:ind w:left="0"/>
      </w:pPr>
      <w:r>
        <w:rPr>
          <w:rFonts w:ascii="Times New Roman" w:eastAsia="Times New Roman" w:hAnsi="Times New Roman"/>
          <w:lang w:eastAsia="en-US"/>
        </w:rPr>
        <w:t>8.</w:t>
      </w:r>
      <w:r>
        <w:rPr>
          <w:rFonts w:ascii="Times New Roman" w:eastAsia="Times New Roman" w:hAnsi="Times New Roman"/>
          <w:lang w:eastAsia="en-US"/>
        </w:rPr>
        <w:tab/>
        <w:t>Veicināt metodisku atbalstu karjeras izglīt</w:t>
      </w:r>
      <w:r>
        <w:rPr>
          <w:rFonts w:ascii="Times New Roman" w:eastAsia="Times New Roman" w:hAnsi="Times New Roman"/>
          <w:lang w:eastAsia="en-US"/>
        </w:rPr>
        <w:t>ības jautājumos pamatskolā integrēti dažādos mācību priekšmetos;</w:t>
      </w:r>
    </w:p>
    <w:p w14:paraId="69D44CDB" w14:textId="77777777" w:rsidR="00087872" w:rsidRDefault="00256B13">
      <w:pPr>
        <w:pStyle w:val="Sarakstarindkopa"/>
        <w:tabs>
          <w:tab w:val="left" w:pos="567"/>
        </w:tabs>
        <w:ind w:left="0"/>
      </w:pPr>
      <w:r>
        <w:rPr>
          <w:rFonts w:ascii="Times New Roman" w:eastAsia="Times New Roman" w:hAnsi="Times New Roman"/>
          <w:lang w:eastAsia="en-US"/>
        </w:rPr>
        <w:t>9.</w:t>
      </w:r>
      <w:r>
        <w:rPr>
          <w:rFonts w:ascii="Times New Roman" w:eastAsia="Times New Roman" w:hAnsi="Times New Roman"/>
          <w:lang w:eastAsia="en-US"/>
        </w:rPr>
        <w:tab/>
        <w:t>Izvērtēt nepieciešamību precīzāk definēt valsts ģimnāzijām sasniedzamos rezultātus un iesaisti metodiskā darba sistēmā;</w:t>
      </w:r>
    </w:p>
    <w:p w14:paraId="10954A2C" w14:textId="77777777" w:rsidR="00087872" w:rsidRDefault="00256B13">
      <w:pPr>
        <w:pStyle w:val="Sarakstarindkopa"/>
        <w:tabs>
          <w:tab w:val="left" w:pos="567"/>
        </w:tabs>
        <w:ind w:left="0"/>
      </w:pPr>
      <w:r>
        <w:rPr>
          <w:rFonts w:ascii="Times New Roman" w:eastAsia="Times New Roman" w:hAnsi="Times New Roman"/>
          <w:lang w:eastAsia="en-US"/>
        </w:rPr>
        <w:t>1</w:t>
      </w:r>
      <w:r>
        <w:rPr>
          <w:rFonts w:ascii="Times New Roman" w:eastAsia="Times New Roman" w:hAnsi="Times New Roman"/>
          <w:lang w:eastAsia="en-US"/>
        </w:rPr>
        <w:t>0</w:t>
      </w:r>
      <w:r>
        <w:rPr>
          <w:rFonts w:ascii="Times New Roman" w:eastAsia="Times New Roman" w:hAnsi="Times New Roman"/>
          <w:lang w:eastAsia="en-US"/>
        </w:rPr>
        <w:t>.</w:t>
      </w:r>
      <w:r>
        <w:rPr>
          <w:rFonts w:ascii="Times New Roman" w:eastAsia="Times New Roman" w:hAnsi="Times New Roman"/>
          <w:lang w:eastAsia="en-US"/>
        </w:rPr>
        <w:tab/>
        <w:t>Aktualizēt tālmācības izglītības programmu īstenošanas kvalitāte</w:t>
      </w:r>
      <w:r>
        <w:rPr>
          <w:rFonts w:ascii="Times New Roman" w:eastAsia="Times New Roman" w:hAnsi="Times New Roman"/>
          <w:lang w:eastAsia="en-US"/>
        </w:rPr>
        <w:t>s jautājumus, iegūstot papildu datus un informāciju par tālmācības programmu īstenošanu 1.-3.klasēs;</w:t>
      </w:r>
    </w:p>
    <w:p w14:paraId="4A4B40F1" w14:textId="77777777" w:rsidR="00087872" w:rsidRDefault="00256B13">
      <w:pPr>
        <w:pStyle w:val="Sarakstarindkopa"/>
        <w:tabs>
          <w:tab w:val="left" w:pos="567"/>
        </w:tabs>
        <w:ind w:left="0"/>
      </w:pPr>
      <w:r>
        <w:rPr>
          <w:rFonts w:ascii="Times New Roman" w:eastAsia="Times New Roman" w:hAnsi="Times New Roman"/>
          <w:lang w:eastAsia="en-US"/>
        </w:rPr>
        <w:t>1</w:t>
      </w:r>
      <w:r>
        <w:rPr>
          <w:rFonts w:ascii="Times New Roman" w:eastAsia="Times New Roman" w:hAnsi="Times New Roman"/>
          <w:lang w:eastAsia="en-US"/>
        </w:rPr>
        <w:t>1</w:t>
      </w:r>
      <w:r>
        <w:rPr>
          <w:rFonts w:ascii="Times New Roman" w:eastAsia="Times New Roman" w:hAnsi="Times New Roman"/>
          <w:lang w:eastAsia="en-US"/>
        </w:rPr>
        <w:t>.</w:t>
      </w:r>
      <w:r>
        <w:rPr>
          <w:rFonts w:ascii="Times New Roman" w:eastAsia="Times New Roman" w:hAnsi="Times New Roman"/>
          <w:lang w:eastAsia="en-US"/>
        </w:rPr>
        <w:tab/>
        <w:t xml:space="preserve">Veidot valsts atbalstu pedagogiem un izglītības iestādēm, kuras īsteno neklātienes izglītības programmas, meklējot iespējas paplašināt </w:t>
      </w:r>
      <w:proofErr w:type="spellStart"/>
      <w:r>
        <w:rPr>
          <w:rFonts w:ascii="Times New Roman" w:eastAsia="Times New Roman" w:hAnsi="Times New Roman"/>
          <w:lang w:eastAsia="en-US"/>
        </w:rPr>
        <w:t>pašvadītas</w:t>
      </w:r>
      <w:proofErr w:type="spellEnd"/>
      <w:r>
        <w:rPr>
          <w:rFonts w:ascii="Times New Roman" w:eastAsia="Times New Roman" w:hAnsi="Times New Roman"/>
          <w:lang w:eastAsia="en-US"/>
        </w:rPr>
        <w:t xml:space="preserve"> mācīš</w:t>
      </w:r>
      <w:r>
        <w:rPr>
          <w:rFonts w:ascii="Times New Roman" w:eastAsia="Times New Roman" w:hAnsi="Times New Roman"/>
          <w:lang w:eastAsia="en-US"/>
        </w:rPr>
        <w:t>anās prasmes izglītojamiem izglītības programmas apguvē;</w:t>
      </w:r>
    </w:p>
    <w:p w14:paraId="440737EA" w14:textId="77777777" w:rsidR="00087872" w:rsidRDefault="00256B13">
      <w:pPr>
        <w:pStyle w:val="Sarakstarindkopa"/>
        <w:tabs>
          <w:tab w:val="left" w:pos="567"/>
        </w:tabs>
        <w:ind w:left="0"/>
      </w:pPr>
      <w:r>
        <w:rPr>
          <w:rFonts w:ascii="Times New Roman" w:eastAsia="Times New Roman" w:hAnsi="Times New Roman"/>
          <w:lang w:eastAsia="en-US"/>
        </w:rPr>
        <w:t>1</w:t>
      </w:r>
      <w:r>
        <w:rPr>
          <w:rFonts w:ascii="Times New Roman" w:eastAsia="Times New Roman" w:hAnsi="Times New Roman"/>
          <w:lang w:eastAsia="en-US"/>
        </w:rPr>
        <w:t>2</w:t>
      </w:r>
      <w:r>
        <w:rPr>
          <w:rFonts w:ascii="Times New Roman" w:eastAsia="Times New Roman" w:hAnsi="Times New Roman"/>
          <w:lang w:eastAsia="en-US"/>
        </w:rPr>
        <w:t>.</w:t>
      </w:r>
      <w:r>
        <w:rPr>
          <w:rFonts w:ascii="Times New Roman" w:eastAsia="Times New Roman" w:hAnsi="Times New Roman"/>
          <w:lang w:eastAsia="en-US"/>
        </w:rPr>
        <w:tab/>
        <w:t>Stiprināt izglītības pārvalžu iesaisti izglītības iestāžu metodiskās vadības, darbības analīzes un atbalsta jomā.</w:t>
      </w:r>
    </w:p>
    <w:p w14:paraId="63F8E818" w14:textId="77777777" w:rsidR="00087872" w:rsidRDefault="00087872">
      <w:pPr>
        <w:pStyle w:val="Sarakstarindkopa"/>
        <w:tabs>
          <w:tab w:val="left" w:pos="567"/>
        </w:tabs>
        <w:ind w:left="0"/>
        <w:rPr>
          <w:rFonts w:ascii="Times New Roman" w:eastAsia="Times New Roman" w:hAnsi="Times New Roman"/>
          <w:lang w:eastAsia="en-US"/>
        </w:rPr>
      </w:pPr>
    </w:p>
    <w:p w14:paraId="5EECC39F" w14:textId="77777777" w:rsidR="00087872" w:rsidRDefault="00256B13">
      <w:pPr>
        <w:pStyle w:val="virsraksts60"/>
      </w:pPr>
      <w:bookmarkStart w:id="49" w:name="_Toc456011960"/>
      <w:bookmarkStart w:id="50" w:name="_Toc456012549"/>
      <w:r>
        <w:rPr>
          <w:sz w:val="24"/>
        </w:rPr>
        <w:t>Kursu organizēšana</w:t>
      </w:r>
      <w:bookmarkEnd w:id="49"/>
      <w:bookmarkEnd w:id="50"/>
    </w:p>
    <w:p w14:paraId="3C19A1F9" w14:textId="77777777" w:rsidR="00087872" w:rsidRDefault="00256B13">
      <w:pPr>
        <w:rPr>
          <w:rFonts w:eastAsia="Times New Roman"/>
          <w:sz w:val="22"/>
          <w:szCs w:val="22"/>
        </w:rPr>
      </w:pPr>
      <w:r>
        <w:rPr>
          <w:rFonts w:eastAsia="Times New Roman"/>
          <w:sz w:val="22"/>
          <w:szCs w:val="22"/>
        </w:rPr>
        <w:t>2022. gadā kvalitātes dienests izstrādāja un īstenoja pedagog</w:t>
      </w:r>
      <w:r>
        <w:rPr>
          <w:rFonts w:eastAsia="Times New Roman"/>
          <w:sz w:val="22"/>
          <w:szCs w:val="22"/>
        </w:rPr>
        <w:t>u profesionālās kompetences pilnveides kursus ar IZM piešķirto valsts budžeta finansējumu:</w:t>
      </w:r>
    </w:p>
    <w:p w14:paraId="3E67A6EC" w14:textId="77777777" w:rsidR="00087872" w:rsidRDefault="00256B13">
      <w:pPr>
        <w:contextualSpacing/>
        <w:rPr>
          <w:sz w:val="22"/>
          <w:szCs w:val="22"/>
        </w:rPr>
      </w:pPr>
      <w:r>
        <w:rPr>
          <w:sz w:val="22"/>
          <w:szCs w:val="22"/>
        </w:rPr>
        <w:t>1.</w:t>
      </w:r>
      <w:r>
        <w:rPr>
          <w:sz w:val="22"/>
          <w:szCs w:val="22"/>
        </w:rPr>
        <w:tab/>
        <w:t>Kursos 2022. gadā piedalījās 2070 dalībnieki (12h kursi “Izglītības kvalitātes nodrošināšana izglītības iestādē”, 54h kursi “Izglītības kvalitātes nodrošināšana p</w:t>
      </w:r>
      <w:r>
        <w:rPr>
          <w:sz w:val="22"/>
          <w:szCs w:val="22"/>
        </w:rPr>
        <w:t>ašvaldībā”, 54h kursi “Akreditācijas ekspertu / komisiju vadītāju vispārējā un profesionālajā izglītībā sagatavošana”);</w:t>
      </w:r>
    </w:p>
    <w:p w14:paraId="297B80EE" w14:textId="77777777" w:rsidR="00087872" w:rsidRDefault="00256B13">
      <w:pPr>
        <w:contextualSpacing/>
        <w:rPr>
          <w:sz w:val="22"/>
          <w:szCs w:val="22"/>
        </w:rPr>
      </w:pPr>
      <w:r>
        <w:rPr>
          <w:sz w:val="22"/>
          <w:szCs w:val="22"/>
        </w:rPr>
        <w:t>2.</w:t>
      </w:r>
      <w:r>
        <w:rPr>
          <w:sz w:val="22"/>
          <w:szCs w:val="22"/>
        </w:rPr>
        <w:tab/>
        <w:t>12h kursos “Izglītības kvalitātes nodrošināšana” notikušas 80 apakšgrupu nodarbības (44 refleksijas grupu nodarbības – katrā novadā v</w:t>
      </w:r>
      <w:r>
        <w:rPr>
          <w:sz w:val="22"/>
          <w:szCs w:val="22"/>
        </w:rPr>
        <w:t xml:space="preserve">ai </w:t>
      </w:r>
      <w:proofErr w:type="spellStart"/>
      <w:r>
        <w:rPr>
          <w:sz w:val="22"/>
          <w:szCs w:val="22"/>
        </w:rPr>
        <w:t>valstspilsētā</w:t>
      </w:r>
      <w:proofErr w:type="spellEnd"/>
      <w:r>
        <w:rPr>
          <w:sz w:val="22"/>
          <w:szCs w:val="22"/>
        </w:rPr>
        <w:t xml:space="preserve">, atsevišķa grupa profesionālās izglītības iestādēm, 36 kursu dalībnieku grupas par </w:t>
      </w:r>
      <w:proofErr w:type="spellStart"/>
      <w:r>
        <w:rPr>
          <w:sz w:val="22"/>
          <w:szCs w:val="22"/>
        </w:rPr>
        <w:t>pašvērtēšanas</w:t>
      </w:r>
      <w:proofErr w:type="spellEnd"/>
      <w:r>
        <w:rPr>
          <w:sz w:val="22"/>
          <w:szCs w:val="22"/>
        </w:rPr>
        <w:t xml:space="preserve"> jautājumiem un personiskās līderības stratēģiju un taktiku izmantošanu sekmīgai pārvaldības nodrošināšanai);</w:t>
      </w:r>
    </w:p>
    <w:p w14:paraId="020DF219" w14:textId="77777777" w:rsidR="00087872" w:rsidRDefault="00256B13">
      <w:pPr>
        <w:contextualSpacing/>
        <w:rPr>
          <w:sz w:val="22"/>
          <w:szCs w:val="22"/>
        </w:rPr>
      </w:pPr>
      <w:r>
        <w:rPr>
          <w:sz w:val="22"/>
          <w:szCs w:val="22"/>
        </w:rPr>
        <w:t>4.</w:t>
      </w:r>
      <w:r>
        <w:rPr>
          <w:sz w:val="22"/>
          <w:szCs w:val="22"/>
        </w:rPr>
        <w:tab/>
        <w:t>54h kursos “Izglītības kvalitā</w:t>
      </w:r>
      <w:r>
        <w:rPr>
          <w:sz w:val="22"/>
          <w:szCs w:val="22"/>
        </w:rPr>
        <w:t xml:space="preserve">tes nodrošināšana pašvaldībā” notikuši izglītības iestāžu apmeklējumi 19 pašvaldībās un/vai </w:t>
      </w:r>
      <w:proofErr w:type="spellStart"/>
      <w:r>
        <w:rPr>
          <w:sz w:val="22"/>
          <w:szCs w:val="22"/>
        </w:rPr>
        <w:t>valstspilsētās</w:t>
      </w:r>
      <w:proofErr w:type="spellEnd"/>
      <w:r>
        <w:rPr>
          <w:sz w:val="22"/>
          <w:szCs w:val="22"/>
        </w:rPr>
        <w:t xml:space="preserve"> kopā ar kursu dalībniekiem, lai apgūtu metodiku un nepieciešamās prasmes izglītības iestāžu apmeklējumos;</w:t>
      </w:r>
    </w:p>
    <w:p w14:paraId="6C0D4F11" w14:textId="77777777" w:rsidR="00087872" w:rsidRDefault="00256B13">
      <w:pPr>
        <w:contextualSpacing/>
        <w:rPr>
          <w:sz w:val="22"/>
          <w:szCs w:val="22"/>
        </w:rPr>
      </w:pPr>
      <w:r>
        <w:rPr>
          <w:sz w:val="22"/>
          <w:szCs w:val="22"/>
        </w:rPr>
        <w:t>5.</w:t>
      </w:r>
      <w:r>
        <w:rPr>
          <w:sz w:val="22"/>
          <w:szCs w:val="22"/>
        </w:rPr>
        <w:tab/>
        <w:t>Konferencē “Izglītības kvalitātes monito</w:t>
      </w:r>
      <w:r>
        <w:rPr>
          <w:sz w:val="22"/>
          <w:szCs w:val="22"/>
        </w:rPr>
        <w:t>rings iekļaujošai izglītībai”, kas veltīta izglītības kvalitātes jautājumiem, un vienlaikus bija viena no 12h kursu “Izglītības kvalitātes nodrošināšana pašvaldībā” dienām, piedalījās 1092 dalībnieki (150 klātienē un 942 tiešsaistē), pulcējot ne tikai pašv</w:t>
      </w:r>
      <w:r>
        <w:rPr>
          <w:sz w:val="22"/>
          <w:szCs w:val="22"/>
        </w:rPr>
        <w:t>aldību kursu dalībniekus, bet visus interesentus (plašāka informācija par konferenci lasāma 2.3.2. apakšnodaļā “ESF projekta 8.3.6.2. pasākuma projekta “Izglītības kvalitātes monitoringa sistēmas izveide un īstenošana” īstenošana”);</w:t>
      </w:r>
    </w:p>
    <w:p w14:paraId="559F42E7" w14:textId="77777777" w:rsidR="00087872" w:rsidRDefault="00256B13">
      <w:pPr>
        <w:rPr>
          <w:sz w:val="22"/>
          <w:szCs w:val="22"/>
        </w:rPr>
      </w:pPr>
      <w:r>
        <w:rPr>
          <w:sz w:val="22"/>
          <w:szCs w:val="22"/>
        </w:rPr>
        <w:t xml:space="preserve">6. 2022. gadā 40 kursu </w:t>
      </w:r>
      <w:r>
        <w:rPr>
          <w:sz w:val="22"/>
          <w:szCs w:val="22"/>
        </w:rPr>
        <w:t>dalībnieki pabeidza akreditācijas ekspertu un akreditācijas ekspertu komisijas vadītāju teorētiskās un praktiskās mācības un, sākot ar 2023. gadu, piedalīsies akreditācijas procesa īstenošanā.</w:t>
      </w:r>
    </w:p>
    <w:p w14:paraId="59D66EE9" w14:textId="77777777" w:rsidR="00087872" w:rsidRDefault="00256B13">
      <w:pPr>
        <w:contextualSpacing/>
        <w:rPr>
          <w:sz w:val="22"/>
          <w:szCs w:val="22"/>
        </w:rPr>
      </w:pPr>
      <w:r>
        <w:rPr>
          <w:sz w:val="22"/>
          <w:szCs w:val="22"/>
        </w:rPr>
        <w:t xml:space="preserve">Pēc kursu īstenošanas var izdarīt šādus secinājumus: </w:t>
      </w:r>
    </w:p>
    <w:p w14:paraId="1269B611" w14:textId="77777777" w:rsidR="00087872" w:rsidRDefault="00256B13">
      <w:pPr>
        <w:contextualSpacing/>
        <w:rPr>
          <w:sz w:val="22"/>
          <w:szCs w:val="22"/>
        </w:rPr>
      </w:pPr>
      <w:r>
        <w:rPr>
          <w:sz w:val="22"/>
          <w:szCs w:val="22"/>
        </w:rPr>
        <w:t>1.</w:t>
      </w:r>
      <w:r>
        <w:rPr>
          <w:sz w:val="22"/>
          <w:szCs w:val="22"/>
        </w:rPr>
        <w:tab/>
        <w:t xml:space="preserve">Kursu </w:t>
      </w:r>
      <w:r>
        <w:rPr>
          <w:sz w:val="22"/>
          <w:szCs w:val="22"/>
        </w:rPr>
        <w:t>dalībnieki norāda uz augsto informācijas lietderību kvalitātes dienesta īstenotajos kursos (9,16, vērtējot skalā no 1-10), kā arī spēju iegūt nepastarpinātas atbildes uz sev būtiskiem jautājumiem;</w:t>
      </w:r>
    </w:p>
    <w:p w14:paraId="7C7A6058" w14:textId="77777777" w:rsidR="00087872" w:rsidRDefault="00256B13">
      <w:pPr>
        <w:contextualSpacing/>
        <w:rPr>
          <w:sz w:val="22"/>
          <w:szCs w:val="22"/>
        </w:rPr>
      </w:pPr>
      <w:r>
        <w:rPr>
          <w:sz w:val="22"/>
          <w:szCs w:val="22"/>
        </w:rPr>
        <w:t>2.</w:t>
      </w:r>
      <w:r>
        <w:rPr>
          <w:sz w:val="22"/>
          <w:szCs w:val="22"/>
        </w:rPr>
        <w:tab/>
        <w:t>Kursu īstenošanas rezultātā ir būtiski pieaugusi izpratn</w:t>
      </w:r>
      <w:r>
        <w:rPr>
          <w:sz w:val="22"/>
          <w:szCs w:val="22"/>
        </w:rPr>
        <w:t>e par izglītības kvalitātes nodrošināšanu izglītības iestādē un pašvaldībā;</w:t>
      </w:r>
    </w:p>
    <w:p w14:paraId="7DCF1CAE" w14:textId="77777777" w:rsidR="00087872" w:rsidRDefault="00256B13">
      <w:pPr>
        <w:contextualSpacing/>
        <w:rPr>
          <w:sz w:val="22"/>
          <w:szCs w:val="22"/>
        </w:rPr>
      </w:pPr>
      <w:r>
        <w:rPr>
          <w:sz w:val="22"/>
          <w:szCs w:val="22"/>
        </w:rPr>
        <w:t>3.</w:t>
      </w:r>
      <w:r>
        <w:rPr>
          <w:sz w:val="22"/>
          <w:szCs w:val="22"/>
        </w:rPr>
        <w:tab/>
        <w:t>Izglītības iestāžu vadītāju prasme īstenot izglītības iestādes darba plānošanu, plānotā īstenošanu, kontroli un pilnveidi, izmantojot datu analītiku, nākotnē ir būtiski jāattīst</w:t>
      </w:r>
      <w:r>
        <w:rPr>
          <w:sz w:val="22"/>
          <w:szCs w:val="22"/>
        </w:rPr>
        <w:t>a;</w:t>
      </w:r>
    </w:p>
    <w:p w14:paraId="0D8C4436" w14:textId="77777777" w:rsidR="00087872" w:rsidRDefault="00256B13">
      <w:pPr>
        <w:contextualSpacing/>
        <w:rPr>
          <w:sz w:val="22"/>
          <w:szCs w:val="22"/>
        </w:rPr>
      </w:pPr>
      <w:r>
        <w:rPr>
          <w:sz w:val="22"/>
          <w:szCs w:val="22"/>
        </w:rPr>
        <w:t>4. Konstatējamas būtiskas atšķirības starp pašvaldību dibinātajām izglītības iestādēm, kur notiek regulāra darba plānošana, un nevalstisko organizāciju vai privātā sektora dibinātajām izglītības iestādēm;</w:t>
      </w:r>
    </w:p>
    <w:p w14:paraId="59218EFA" w14:textId="77777777" w:rsidR="00087872" w:rsidRDefault="00256B13">
      <w:pPr>
        <w:rPr>
          <w:sz w:val="22"/>
          <w:szCs w:val="22"/>
        </w:rPr>
      </w:pPr>
      <w:r>
        <w:rPr>
          <w:sz w:val="22"/>
          <w:szCs w:val="22"/>
        </w:rPr>
        <w:t>5.</w:t>
      </w:r>
      <w:r>
        <w:rPr>
          <w:sz w:val="22"/>
          <w:szCs w:val="22"/>
        </w:rPr>
        <w:tab/>
        <w:t>Pašvaldību izglītības speciālisti, veicot sav</w:t>
      </w:r>
      <w:r>
        <w:rPr>
          <w:sz w:val="22"/>
          <w:szCs w:val="22"/>
        </w:rPr>
        <w:t xml:space="preserve">u kompetenču </w:t>
      </w:r>
      <w:proofErr w:type="spellStart"/>
      <w:r>
        <w:rPr>
          <w:sz w:val="22"/>
          <w:szCs w:val="22"/>
        </w:rPr>
        <w:t>pašvērtēšanu</w:t>
      </w:r>
      <w:proofErr w:type="spellEnd"/>
      <w:r>
        <w:rPr>
          <w:sz w:val="22"/>
          <w:szCs w:val="22"/>
        </w:rPr>
        <w:t>, norādījuši, ka turpmāk nepieciešams padziļināt zināšanas un prasmes tiesību jautājumos, izglītības kvalitātes nodrošināšanā, īpašu uzmanību pievēršot datu un informācijas ieguvei un analīzei par izglītības iestāžu darba kvalitāti</w:t>
      </w:r>
      <w:r>
        <w:rPr>
          <w:sz w:val="22"/>
          <w:szCs w:val="22"/>
        </w:rPr>
        <w:t xml:space="preserve"> u.c.</w:t>
      </w:r>
      <w:bookmarkStart w:id="51" w:name="_Hlk139299660"/>
      <w:bookmarkEnd w:id="51"/>
    </w:p>
    <w:p w14:paraId="7776F1F8" w14:textId="77777777" w:rsidR="00087872" w:rsidRDefault="00256B13">
      <w:r>
        <w:rPr>
          <w:rFonts w:eastAsia="Times New Roman"/>
          <w:sz w:val="22"/>
          <w:szCs w:val="22"/>
        </w:rPr>
        <w:t>Kursu un konferenču materiāli (prezentācijas, video ieraksti, metodiskie atbalsta materiāli) ir pieejami kvalitātes dienesta tīmekļvietnes www.ikvd.gov.lv sadaļā “Metodiskie materiāli”.</w:t>
      </w:r>
    </w:p>
    <w:p w14:paraId="292DBF8A" w14:textId="77777777" w:rsidR="00087872" w:rsidRDefault="00087872">
      <w:pPr>
        <w:rPr>
          <w:rFonts w:eastAsia="Times New Roman"/>
          <w:sz w:val="22"/>
          <w:szCs w:val="22"/>
        </w:rPr>
      </w:pPr>
    </w:p>
    <w:p w14:paraId="5B19E221" w14:textId="77777777" w:rsidR="00087872" w:rsidRDefault="00256B13">
      <w:pPr>
        <w:pStyle w:val="Virsraksts31"/>
      </w:pPr>
      <w:bookmarkStart w:id="52" w:name="_Toc456011959"/>
      <w:bookmarkStart w:id="53" w:name="_Toc456012548"/>
      <w:bookmarkStart w:id="54" w:name="_Toc45208789"/>
      <w:bookmarkStart w:id="55" w:name="_Toc139120230"/>
      <w:r>
        <w:t>2.2.4. Ārpus formālās izglītības sistēmas apgūtās profesionālās</w:t>
      </w:r>
      <w:r>
        <w:t xml:space="preserve"> kompetences novērtēšana</w:t>
      </w:r>
      <w:bookmarkEnd w:id="52"/>
      <w:bookmarkEnd w:id="53"/>
      <w:bookmarkEnd w:id="54"/>
      <w:bookmarkEnd w:id="55"/>
    </w:p>
    <w:p w14:paraId="0B04F365" w14:textId="77777777" w:rsidR="00087872" w:rsidRDefault="00256B13">
      <w:r>
        <w:rPr>
          <w:sz w:val="22"/>
          <w:szCs w:val="22"/>
        </w:rPr>
        <w:t xml:space="preserve">2022. gadā kvalitātes dienests deleģējis tiesības veikt ārpus formālās izglītības sistēmas apgūtās profesionālās kompetences novērtēšanu 24 izglītības iestādēm, noslēdzot 104 deleģēšanas līgumus 72 profesionālajās kvalifikācijās. </w:t>
      </w:r>
      <w:bookmarkStart w:id="56" w:name="_Hlk102650660"/>
      <w:r>
        <w:rPr>
          <w:sz w:val="22"/>
          <w:szCs w:val="22"/>
        </w:rPr>
        <w:t>Ā</w:t>
      </w:r>
      <w:r>
        <w:rPr>
          <w:sz w:val="22"/>
          <w:szCs w:val="22"/>
        </w:rPr>
        <w:t>rpus formālās izglītības sistēmas apgūtās profesionālās kompetences novērtēšanas ceļā 2022. gadā profesionālās kvalifikācijas apliecību</w:t>
      </w:r>
      <w:bookmarkEnd w:id="56"/>
      <w:r>
        <w:rPr>
          <w:sz w:val="22"/>
          <w:szCs w:val="22"/>
        </w:rPr>
        <w:t xml:space="preserve"> ieguvušas 652 personas. </w:t>
      </w:r>
    </w:p>
    <w:p w14:paraId="57FA1047" w14:textId="77777777" w:rsidR="00087872" w:rsidRDefault="00256B13">
      <w:r>
        <w:rPr>
          <w:sz w:val="22"/>
          <w:szCs w:val="22"/>
        </w:rPr>
        <w:t xml:space="preserve">Personu, kuras ieguvušas profesionālās kvalifikācijas apliecību ārpus formālās </w:t>
      </w:r>
      <w:r>
        <w:rPr>
          <w:sz w:val="22"/>
          <w:szCs w:val="22"/>
        </w:rPr>
        <w:t xml:space="preserve">izglītības sistēmas apgūtās profesionālās kompetences novērtēšanas ceļā ir pieaudzis divus gadu pēc kārtas. Salīdzinot ar 2021. gadu, personu skaits pieaudzis par gandrīz 12%, kamēr, salīdzinot ar 2020. gadu, tas pieaudzis gandrīz divas reizes jeb par 48% </w:t>
      </w:r>
      <w:r>
        <w:rPr>
          <w:sz w:val="22"/>
          <w:szCs w:val="22"/>
        </w:rPr>
        <w:t>(skat. 8. tabulu). Šī gada pieaugumu, iespējams, daļēji veicinājusi Valsts izglītības attīstības aģentūras (VIAA) reklāmas kampaņa par eksāmena izmaksu kompensāciju personām, kuras nolēmušas iegūt profesionālās kvalifikācijas apliecību ārpus formālās izglī</w:t>
      </w:r>
      <w:r>
        <w:rPr>
          <w:sz w:val="22"/>
          <w:szCs w:val="22"/>
        </w:rPr>
        <w:t>tības sistēmas apgūtās profesionālās kompetences novērtēšanas ceļā.</w:t>
      </w:r>
    </w:p>
    <w:p w14:paraId="2F4F628A" w14:textId="77777777" w:rsidR="00087872" w:rsidRDefault="00256B13">
      <w:pPr>
        <w:rPr>
          <w:i/>
          <w:iCs/>
          <w:sz w:val="22"/>
          <w:szCs w:val="22"/>
        </w:rPr>
      </w:pPr>
      <w:r>
        <w:rPr>
          <w:sz w:val="22"/>
          <w:szCs w:val="22"/>
        </w:rPr>
        <w:t xml:space="preserve">2022. gadā starp populārākajām kvalifikācijām ir </w:t>
      </w:r>
      <w:r>
        <w:rPr>
          <w:i/>
          <w:iCs/>
          <w:sz w:val="22"/>
          <w:szCs w:val="22"/>
        </w:rPr>
        <w:t>aprūpētājs</w:t>
      </w:r>
      <w:r>
        <w:rPr>
          <w:sz w:val="22"/>
          <w:szCs w:val="22"/>
        </w:rPr>
        <w:t>,</w:t>
      </w:r>
      <w:r>
        <w:rPr>
          <w:i/>
          <w:iCs/>
          <w:sz w:val="22"/>
          <w:szCs w:val="22"/>
        </w:rPr>
        <w:t xml:space="preserve"> metinātājs-</w:t>
      </w:r>
      <w:proofErr w:type="spellStart"/>
      <w:r>
        <w:rPr>
          <w:i/>
          <w:iCs/>
          <w:sz w:val="22"/>
          <w:szCs w:val="22"/>
        </w:rPr>
        <w:t>gāzmetinātājs</w:t>
      </w:r>
      <w:proofErr w:type="spellEnd"/>
      <w:r>
        <w:rPr>
          <w:i/>
          <w:iCs/>
          <w:sz w:val="22"/>
          <w:szCs w:val="22"/>
        </w:rPr>
        <w:t xml:space="preserve"> ar dažādām iekārtām (MMA, MAG, MIG, TIG)</w:t>
      </w:r>
      <w:r>
        <w:rPr>
          <w:sz w:val="22"/>
          <w:szCs w:val="22"/>
        </w:rPr>
        <w:t>,</w:t>
      </w:r>
      <w:r>
        <w:rPr>
          <w:i/>
          <w:iCs/>
          <w:sz w:val="22"/>
          <w:szCs w:val="22"/>
        </w:rPr>
        <w:t xml:space="preserve"> pavārs</w:t>
      </w:r>
      <w:r>
        <w:rPr>
          <w:sz w:val="22"/>
          <w:szCs w:val="22"/>
        </w:rPr>
        <w:t>,</w:t>
      </w:r>
      <w:r>
        <w:rPr>
          <w:i/>
          <w:iCs/>
          <w:sz w:val="22"/>
          <w:szCs w:val="22"/>
        </w:rPr>
        <w:t xml:space="preserve"> elektrotehniķis </w:t>
      </w:r>
      <w:r>
        <w:rPr>
          <w:sz w:val="22"/>
          <w:szCs w:val="22"/>
        </w:rPr>
        <w:t>un</w:t>
      </w:r>
      <w:r>
        <w:rPr>
          <w:i/>
          <w:iCs/>
          <w:sz w:val="22"/>
          <w:szCs w:val="22"/>
        </w:rPr>
        <w:t xml:space="preserve"> bibliotekārs</w:t>
      </w:r>
      <w:r>
        <w:rPr>
          <w:sz w:val="22"/>
          <w:szCs w:val="22"/>
        </w:rPr>
        <w:t xml:space="preserve">. </w:t>
      </w:r>
      <w:r>
        <w:rPr>
          <w:sz w:val="22"/>
          <w:szCs w:val="22"/>
        </w:rPr>
        <w:t>2022. gadā ārpus formālās izglītības sistēmas apgūtās profesionālās kompetences novērtēšanas ceļā iegūto kvalifikāciju sarakstu papildinājušas vairākas jaunas kvalifikācijas</w:t>
      </w:r>
      <w:r>
        <w:rPr>
          <w:rFonts w:eastAsia="Times New Roman"/>
          <w:sz w:val="22"/>
          <w:szCs w:val="22"/>
        </w:rPr>
        <w:t xml:space="preserve">, piemēram, </w:t>
      </w:r>
      <w:r>
        <w:rPr>
          <w:sz w:val="22"/>
          <w:szCs w:val="22"/>
          <w:lang w:eastAsia="lv-LV"/>
        </w:rPr>
        <w:t xml:space="preserve">krāšņu un kamīnu mūrnieks; mūziķis, mūzikas tehnoloģiju speciālists ar </w:t>
      </w:r>
      <w:r>
        <w:rPr>
          <w:sz w:val="22"/>
          <w:szCs w:val="22"/>
          <w:lang w:eastAsia="lv-LV"/>
        </w:rPr>
        <w:t>specializāciju gaismotājs</w:t>
      </w:r>
      <w:r>
        <w:rPr>
          <w:sz w:val="22"/>
          <w:szCs w:val="22"/>
        </w:rPr>
        <w:t>; transportlīdzekļu krāsotājs u.c.</w:t>
      </w:r>
      <w:r>
        <w:rPr>
          <w:i/>
          <w:iCs/>
          <w:sz w:val="22"/>
          <w:szCs w:val="22"/>
        </w:rPr>
        <w:t xml:space="preserve"> </w:t>
      </w:r>
    </w:p>
    <w:p w14:paraId="13840D72" w14:textId="77777777" w:rsidR="00087872" w:rsidRDefault="00256B13">
      <w:pPr>
        <w:spacing w:line="240" w:lineRule="auto"/>
        <w:ind w:firstLine="720"/>
        <w:jc w:val="right"/>
      </w:pPr>
      <w:r>
        <w:rPr>
          <w:rFonts w:eastAsia="Times New Roman"/>
          <w:i/>
          <w:sz w:val="22"/>
          <w:szCs w:val="22"/>
        </w:rPr>
        <w:t xml:space="preserve">8. tabula </w:t>
      </w:r>
    </w:p>
    <w:p w14:paraId="4C048290" w14:textId="77777777" w:rsidR="00087872" w:rsidRDefault="00256B13">
      <w:pPr>
        <w:ind w:firstLine="720"/>
        <w:jc w:val="center"/>
      </w:pPr>
      <w:r>
        <w:rPr>
          <w:rFonts w:eastAsia="Times New Roman"/>
          <w:i/>
          <w:sz w:val="22"/>
          <w:szCs w:val="22"/>
        </w:rPr>
        <w:t>Ārpus formālās izglītības sistēmas apgūtās profesionālās kompetences novērtēšanas ceļā iegūtās profesionālās kvalifikācijas no 2016. līdz 2022. gadam</w:t>
      </w:r>
    </w:p>
    <w:tbl>
      <w:tblPr>
        <w:tblW w:w="9356" w:type="dxa"/>
        <w:tblInd w:w="-5" w:type="dxa"/>
        <w:tblLayout w:type="fixed"/>
        <w:tblLook w:val="00A0" w:firstRow="1" w:lastRow="0" w:firstColumn="1" w:lastColumn="0" w:noHBand="0" w:noVBand="0"/>
      </w:tblPr>
      <w:tblGrid>
        <w:gridCol w:w="3969"/>
        <w:gridCol w:w="568"/>
        <w:gridCol w:w="708"/>
        <w:gridCol w:w="712"/>
        <w:gridCol w:w="708"/>
        <w:gridCol w:w="707"/>
        <w:gridCol w:w="851"/>
        <w:gridCol w:w="1133"/>
      </w:tblGrid>
      <w:tr w:rsidR="00087872" w14:paraId="4A6CA829" w14:textId="77777777">
        <w:trPr>
          <w:trHeight w:val="288"/>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14:paraId="6411B856" w14:textId="77777777" w:rsidR="00087872" w:rsidRDefault="00256B13">
            <w:pPr>
              <w:widowControl w:val="0"/>
              <w:spacing w:after="0" w:line="240" w:lineRule="auto"/>
              <w:jc w:val="center"/>
              <w:rPr>
                <w:b/>
                <w:bCs/>
                <w:sz w:val="20"/>
                <w:szCs w:val="20"/>
                <w:lang w:eastAsia="lv-LV"/>
              </w:rPr>
            </w:pPr>
            <w:r>
              <w:rPr>
                <w:b/>
                <w:bCs/>
                <w:sz w:val="20"/>
                <w:szCs w:val="20"/>
                <w:lang w:eastAsia="lv-LV"/>
              </w:rPr>
              <w:t>Profesionālā kvalifikācija (profes</w:t>
            </w:r>
            <w:r>
              <w:rPr>
                <w:b/>
                <w:bCs/>
                <w:sz w:val="20"/>
                <w:szCs w:val="20"/>
                <w:lang w:eastAsia="lv-LV"/>
              </w:rPr>
              <w:t>ionālās kvalifikācijas līmenis)</w:t>
            </w:r>
          </w:p>
        </w:tc>
        <w:tc>
          <w:tcPr>
            <w:tcW w:w="568" w:type="dxa"/>
            <w:tcBorders>
              <w:top w:val="single" w:sz="4" w:space="0" w:color="000000"/>
              <w:left w:val="single" w:sz="4" w:space="0" w:color="000000"/>
              <w:bottom w:val="single" w:sz="4" w:space="0" w:color="000000"/>
              <w:right w:val="single" w:sz="4" w:space="0" w:color="000000"/>
            </w:tcBorders>
          </w:tcPr>
          <w:p w14:paraId="16D995E9" w14:textId="77777777" w:rsidR="00087872" w:rsidRDefault="00087872">
            <w:pPr>
              <w:widowControl w:val="0"/>
              <w:spacing w:after="0" w:line="240" w:lineRule="auto"/>
              <w:jc w:val="center"/>
              <w:rPr>
                <w:sz w:val="20"/>
                <w:szCs w:val="20"/>
                <w:lang w:eastAsia="lv-LV"/>
              </w:rPr>
            </w:pPr>
          </w:p>
        </w:tc>
        <w:tc>
          <w:tcPr>
            <w:tcW w:w="4819" w:type="dxa"/>
            <w:gridSpan w:val="6"/>
            <w:tcBorders>
              <w:top w:val="single" w:sz="4" w:space="0" w:color="000000"/>
              <w:left w:val="single" w:sz="4" w:space="0" w:color="000000"/>
              <w:bottom w:val="single" w:sz="4" w:space="0" w:color="000000"/>
              <w:right w:val="single" w:sz="4" w:space="0" w:color="000000"/>
            </w:tcBorders>
            <w:vAlign w:val="center"/>
          </w:tcPr>
          <w:p w14:paraId="3458B6E1" w14:textId="77777777" w:rsidR="00087872" w:rsidRDefault="00256B13">
            <w:pPr>
              <w:widowControl w:val="0"/>
              <w:spacing w:after="0" w:line="240" w:lineRule="auto"/>
              <w:jc w:val="center"/>
              <w:rPr>
                <w:sz w:val="20"/>
                <w:szCs w:val="20"/>
                <w:lang w:eastAsia="lv-LV"/>
              </w:rPr>
            </w:pPr>
            <w:r>
              <w:rPr>
                <w:sz w:val="20"/>
                <w:szCs w:val="20"/>
                <w:lang w:eastAsia="lv-LV"/>
              </w:rPr>
              <w:t>Profesionālās kvalifikācijas apliecību ieguvušo personu skaits</w:t>
            </w:r>
          </w:p>
        </w:tc>
      </w:tr>
      <w:tr w:rsidR="00087872" w14:paraId="3A58B0CF" w14:textId="77777777">
        <w:trPr>
          <w:trHeight w:val="288"/>
        </w:trPr>
        <w:tc>
          <w:tcPr>
            <w:tcW w:w="3968" w:type="dxa"/>
            <w:vMerge/>
            <w:tcBorders>
              <w:top w:val="single" w:sz="4" w:space="0" w:color="000000"/>
              <w:left w:val="single" w:sz="4" w:space="0" w:color="000000"/>
              <w:bottom w:val="single" w:sz="4" w:space="0" w:color="000000"/>
              <w:right w:val="single" w:sz="4" w:space="0" w:color="000000"/>
            </w:tcBorders>
            <w:vAlign w:val="center"/>
          </w:tcPr>
          <w:p w14:paraId="457BFF3E" w14:textId="77777777" w:rsidR="00087872" w:rsidRDefault="00087872">
            <w:pPr>
              <w:widowControl w:val="0"/>
              <w:spacing w:after="0" w:line="252" w:lineRule="auto"/>
              <w:rPr>
                <w:b/>
                <w:bCs/>
                <w:sz w:val="20"/>
                <w:szCs w:val="20"/>
                <w:lang w:eastAsia="lv-LV"/>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40FBB8E7" w14:textId="77777777" w:rsidR="00087872" w:rsidRDefault="00256B13">
            <w:pPr>
              <w:widowControl w:val="0"/>
              <w:spacing w:after="0" w:line="240" w:lineRule="auto"/>
              <w:jc w:val="center"/>
              <w:rPr>
                <w:b/>
                <w:bCs/>
                <w:sz w:val="20"/>
                <w:szCs w:val="20"/>
                <w:lang w:eastAsia="lv-LV"/>
              </w:rPr>
            </w:pPr>
            <w:r>
              <w:rPr>
                <w:b/>
                <w:bCs/>
                <w:sz w:val="20"/>
                <w:szCs w:val="20"/>
                <w:lang w:eastAsia="lv-LV"/>
              </w:rPr>
              <w:t>2016</w:t>
            </w:r>
          </w:p>
        </w:tc>
        <w:tc>
          <w:tcPr>
            <w:tcW w:w="708" w:type="dxa"/>
            <w:tcBorders>
              <w:top w:val="single" w:sz="4" w:space="0" w:color="000000"/>
              <w:left w:val="single" w:sz="4" w:space="0" w:color="000000"/>
              <w:bottom w:val="single" w:sz="4" w:space="0" w:color="000000"/>
              <w:right w:val="single" w:sz="4" w:space="0" w:color="000000"/>
            </w:tcBorders>
            <w:vAlign w:val="center"/>
          </w:tcPr>
          <w:p w14:paraId="13F1456B" w14:textId="77777777" w:rsidR="00087872" w:rsidRDefault="00256B13">
            <w:pPr>
              <w:widowControl w:val="0"/>
              <w:spacing w:after="0" w:line="240" w:lineRule="auto"/>
              <w:jc w:val="center"/>
              <w:rPr>
                <w:b/>
                <w:bCs/>
                <w:sz w:val="20"/>
                <w:szCs w:val="20"/>
                <w:lang w:eastAsia="lv-LV"/>
              </w:rPr>
            </w:pPr>
            <w:r>
              <w:rPr>
                <w:b/>
                <w:bCs/>
                <w:sz w:val="20"/>
                <w:szCs w:val="20"/>
                <w:lang w:eastAsia="lv-LV"/>
              </w:rPr>
              <w:t>2017</w:t>
            </w:r>
          </w:p>
        </w:tc>
        <w:tc>
          <w:tcPr>
            <w:tcW w:w="712" w:type="dxa"/>
            <w:tcBorders>
              <w:top w:val="single" w:sz="4" w:space="0" w:color="000000"/>
              <w:left w:val="single" w:sz="4" w:space="0" w:color="000000"/>
              <w:bottom w:val="single" w:sz="4" w:space="0" w:color="000000"/>
              <w:right w:val="single" w:sz="4" w:space="0" w:color="000000"/>
            </w:tcBorders>
            <w:vAlign w:val="center"/>
          </w:tcPr>
          <w:p w14:paraId="2A00E8FF" w14:textId="77777777" w:rsidR="00087872" w:rsidRDefault="00256B13">
            <w:pPr>
              <w:widowControl w:val="0"/>
              <w:spacing w:after="0" w:line="240" w:lineRule="auto"/>
              <w:jc w:val="center"/>
              <w:rPr>
                <w:b/>
                <w:bCs/>
                <w:sz w:val="20"/>
                <w:szCs w:val="20"/>
                <w:lang w:eastAsia="lv-LV"/>
              </w:rPr>
            </w:pPr>
            <w:r>
              <w:rPr>
                <w:b/>
                <w:bCs/>
                <w:sz w:val="20"/>
                <w:szCs w:val="20"/>
                <w:lang w:eastAsia="lv-LV"/>
              </w:rPr>
              <w:t>2018</w:t>
            </w:r>
          </w:p>
        </w:tc>
        <w:tc>
          <w:tcPr>
            <w:tcW w:w="708" w:type="dxa"/>
            <w:tcBorders>
              <w:top w:val="single" w:sz="4" w:space="0" w:color="000000"/>
              <w:left w:val="single" w:sz="4" w:space="0" w:color="000000"/>
              <w:bottom w:val="single" w:sz="4" w:space="0" w:color="000000"/>
              <w:right w:val="single" w:sz="4" w:space="0" w:color="000000"/>
            </w:tcBorders>
            <w:vAlign w:val="center"/>
          </w:tcPr>
          <w:p w14:paraId="7FF75147" w14:textId="77777777" w:rsidR="00087872" w:rsidRDefault="00256B13">
            <w:pPr>
              <w:widowControl w:val="0"/>
              <w:spacing w:after="0" w:line="240" w:lineRule="auto"/>
              <w:jc w:val="center"/>
              <w:rPr>
                <w:b/>
                <w:bCs/>
                <w:sz w:val="20"/>
                <w:szCs w:val="20"/>
                <w:lang w:eastAsia="lv-LV"/>
              </w:rPr>
            </w:pPr>
            <w:r>
              <w:rPr>
                <w:b/>
                <w:bCs/>
                <w:sz w:val="20"/>
                <w:szCs w:val="20"/>
                <w:lang w:eastAsia="lv-LV"/>
              </w:rPr>
              <w:t>2019</w:t>
            </w:r>
          </w:p>
        </w:tc>
        <w:tc>
          <w:tcPr>
            <w:tcW w:w="707" w:type="dxa"/>
            <w:tcBorders>
              <w:top w:val="single" w:sz="4" w:space="0" w:color="000000"/>
              <w:left w:val="single" w:sz="4" w:space="0" w:color="000000"/>
              <w:bottom w:val="single" w:sz="4" w:space="0" w:color="000000"/>
              <w:right w:val="single" w:sz="4" w:space="0" w:color="000000"/>
            </w:tcBorders>
            <w:vAlign w:val="center"/>
          </w:tcPr>
          <w:p w14:paraId="4DF61E68" w14:textId="77777777" w:rsidR="00087872" w:rsidRDefault="00256B13">
            <w:pPr>
              <w:widowControl w:val="0"/>
              <w:spacing w:after="0" w:line="240" w:lineRule="auto"/>
              <w:jc w:val="center"/>
              <w:rPr>
                <w:b/>
                <w:bCs/>
                <w:sz w:val="20"/>
                <w:szCs w:val="20"/>
                <w:lang w:eastAsia="lv-LV"/>
              </w:rPr>
            </w:pPr>
            <w:r>
              <w:rPr>
                <w:b/>
                <w:bCs/>
                <w:sz w:val="20"/>
                <w:szCs w:val="20"/>
                <w:lang w:eastAsia="lv-LV"/>
              </w:rPr>
              <w:t>2020</w:t>
            </w:r>
          </w:p>
        </w:tc>
        <w:tc>
          <w:tcPr>
            <w:tcW w:w="851" w:type="dxa"/>
            <w:tcBorders>
              <w:top w:val="single" w:sz="4" w:space="0" w:color="000000"/>
              <w:left w:val="single" w:sz="4" w:space="0" w:color="000000"/>
              <w:bottom w:val="single" w:sz="4" w:space="0" w:color="000000"/>
              <w:right w:val="single" w:sz="4" w:space="0" w:color="000000"/>
            </w:tcBorders>
            <w:vAlign w:val="center"/>
          </w:tcPr>
          <w:p w14:paraId="75F9614E" w14:textId="77777777" w:rsidR="00087872" w:rsidRDefault="00256B13">
            <w:pPr>
              <w:widowControl w:val="0"/>
              <w:spacing w:after="0" w:line="240" w:lineRule="auto"/>
              <w:jc w:val="center"/>
            </w:pPr>
            <w:r>
              <w:rPr>
                <w:b/>
                <w:bCs/>
                <w:sz w:val="20"/>
                <w:szCs w:val="20"/>
                <w:lang w:eastAsia="lv-LV"/>
              </w:rPr>
              <w:t>2021</w:t>
            </w:r>
          </w:p>
        </w:tc>
        <w:tc>
          <w:tcPr>
            <w:tcW w:w="1133" w:type="dxa"/>
            <w:tcBorders>
              <w:top w:val="single" w:sz="4" w:space="0" w:color="000000"/>
              <w:left w:val="single" w:sz="4" w:space="0" w:color="000000"/>
              <w:bottom w:val="single" w:sz="4" w:space="0" w:color="000000"/>
              <w:right w:val="single" w:sz="4" w:space="0" w:color="000000"/>
            </w:tcBorders>
            <w:vAlign w:val="center"/>
          </w:tcPr>
          <w:p w14:paraId="7B16F241" w14:textId="77777777" w:rsidR="00087872" w:rsidRDefault="00256B13">
            <w:pPr>
              <w:widowControl w:val="0"/>
              <w:spacing w:after="0" w:line="240" w:lineRule="auto"/>
              <w:jc w:val="center"/>
              <w:rPr>
                <w:b/>
                <w:bCs/>
                <w:sz w:val="20"/>
                <w:szCs w:val="20"/>
                <w:lang w:eastAsia="lv-LV"/>
              </w:rPr>
            </w:pPr>
            <w:r>
              <w:rPr>
                <w:b/>
                <w:bCs/>
                <w:sz w:val="20"/>
                <w:szCs w:val="20"/>
                <w:lang w:eastAsia="lv-LV"/>
              </w:rPr>
              <w:t>2022</w:t>
            </w:r>
          </w:p>
        </w:tc>
      </w:tr>
      <w:tr w:rsidR="00087872" w14:paraId="48559CE2"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783BF26" w14:textId="77777777" w:rsidR="00087872" w:rsidRDefault="00256B13">
            <w:pPr>
              <w:widowControl w:val="0"/>
              <w:spacing w:after="0" w:line="240" w:lineRule="auto"/>
              <w:jc w:val="center"/>
              <w:rPr>
                <w:sz w:val="20"/>
                <w:szCs w:val="20"/>
                <w:lang w:eastAsia="lv-LV"/>
              </w:rPr>
            </w:pPr>
            <w:r>
              <w:rPr>
                <w:sz w:val="20"/>
                <w:szCs w:val="20"/>
                <w:lang w:eastAsia="lv-LV"/>
              </w:rPr>
              <w:t>Apdares darbu strādnieks (2)</w:t>
            </w:r>
          </w:p>
        </w:tc>
        <w:tc>
          <w:tcPr>
            <w:tcW w:w="568" w:type="dxa"/>
            <w:tcBorders>
              <w:top w:val="single" w:sz="4" w:space="0" w:color="000000"/>
              <w:left w:val="single" w:sz="4" w:space="0" w:color="000000"/>
              <w:bottom w:val="single" w:sz="4" w:space="0" w:color="000000"/>
              <w:right w:val="single" w:sz="4" w:space="0" w:color="000000"/>
            </w:tcBorders>
            <w:vAlign w:val="center"/>
          </w:tcPr>
          <w:p w14:paraId="14491FBA" w14:textId="77777777" w:rsidR="00087872" w:rsidRDefault="00256B13">
            <w:pPr>
              <w:widowControl w:val="0"/>
              <w:spacing w:after="0" w:line="240" w:lineRule="auto"/>
              <w:jc w:val="center"/>
              <w:rPr>
                <w:sz w:val="20"/>
                <w:szCs w:val="20"/>
                <w:lang w:eastAsia="lv-LV"/>
              </w:rPr>
            </w:pPr>
            <w:r>
              <w:rPr>
                <w:sz w:val="20"/>
                <w:szCs w:val="20"/>
                <w:lang w:eastAsia="lv-LV"/>
              </w:rPr>
              <w:t>7</w:t>
            </w:r>
          </w:p>
        </w:tc>
        <w:tc>
          <w:tcPr>
            <w:tcW w:w="708" w:type="dxa"/>
            <w:tcBorders>
              <w:top w:val="single" w:sz="4" w:space="0" w:color="000000"/>
              <w:left w:val="single" w:sz="4" w:space="0" w:color="000000"/>
              <w:bottom w:val="single" w:sz="4" w:space="0" w:color="000000"/>
              <w:right w:val="single" w:sz="4" w:space="0" w:color="000000"/>
            </w:tcBorders>
            <w:vAlign w:val="center"/>
          </w:tcPr>
          <w:p w14:paraId="5452CD0E" w14:textId="77777777" w:rsidR="00087872" w:rsidRDefault="00256B13">
            <w:pPr>
              <w:widowControl w:val="0"/>
              <w:spacing w:after="0" w:line="240" w:lineRule="auto"/>
              <w:jc w:val="center"/>
              <w:rPr>
                <w:sz w:val="20"/>
                <w:szCs w:val="20"/>
                <w:lang w:eastAsia="lv-LV"/>
              </w:rPr>
            </w:pPr>
            <w:r>
              <w:rPr>
                <w:sz w:val="20"/>
                <w:szCs w:val="20"/>
                <w:lang w:eastAsia="lv-LV"/>
              </w:rPr>
              <w:t>8</w:t>
            </w:r>
          </w:p>
        </w:tc>
        <w:tc>
          <w:tcPr>
            <w:tcW w:w="712" w:type="dxa"/>
            <w:tcBorders>
              <w:top w:val="single" w:sz="4" w:space="0" w:color="000000"/>
              <w:left w:val="single" w:sz="4" w:space="0" w:color="000000"/>
              <w:bottom w:val="single" w:sz="4" w:space="0" w:color="000000"/>
              <w:right w:val="single" w:sz="4" w:space="0" w:color="000000"/>
            </w:tcBorders>
            <w:vAlign w:val="center"/>
          </w:tcPr>
          <w:p w14:paraId="07916B8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0D7D56A"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3233181"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82EEE38"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B759157" w14:textId="77777777" w:rsidR="00087872" w:rsidRDefault="00256B13">
            <w:pPr>
              <w:widowControl w:val="0"/>
              <w:spacing w:after="0" w:line="240" w:lineRule="auto"/>
              <w:jc w:val="center"/>
              <w:rPr>
                <w:sz w:val="20"/>
                <w:szCs w:val="20"/>
              </w:rPr>
            </w:pPr>
            <w:r>
              <w:rPr>
                <w:sz w:val="20"/>
                <w:szCs w:val="20"/>
              </w:rPr>
              <w:t>15</w:t>
            </w:r>
          </w:p>
        </w:tc>
      </w:tr>
      <w:tr w:rsidR="00087872" w14:paraId="7A9BE2FF" w14:textId="77777777">
        <w:trPr>
          <w:trHeight w:val="288"/>
        </w:trPr>
        <w:tc>
          <w:tcPr>
            <w:tcW w:w="3968" w:type="dxa"/>
            <w:tcBorders>
              <w:top w:val="single" w:sz="4" w:space="0" w:color="000000"/>
              <w:left w:val="single" w:sz="4" w:space="0" w:color="000000"/>
              <w:bottom w:val="single" w:sz="4" w:space="0" w:color="000000"/>
              <w:right w:val="single" w:sz="4" w:space="0" w:color="000000"/>
            </w:tcBorders>
            <w:vAlign w:val="center"/>
          </w:tcPr>
          <w:p w14:paraId="1770619F" w14:textId="77777777" w:rsidR="00087872" w:rsidRDefault="00256B13">
            <w:pPr>
              <w:widowControl w:val="0"/>
              <w:spacing w:after="0" w:line="240" w:lineRule="auto"/>
              <w:jc w:val="center"/>
              <w:rPr>
                <w:sz w:val="20"/>
                <w:szCs w:val="20"/>
                <w:lang w:eastAsia="lv-LV"/>
              </w:rPr>
            </w:pPr>
            <w:r>
              <w:rPr>
                <w:sz w:val="20"/>
                <w:szCs w:val="20"/>
                <w:lang w:eastAsia="lv-LV"/>
              </w:rPr>
              <w:t>Apdares darbu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4D5DCA3B" w14:textId="77777777" w:rsidR="00087872" w:rsidRDefault="00256B13">
            <w:pPr>
              <w:widowControl w:val="0"/>
              <w:spacing w:after="0" w:line="240" w:lineRule="auto"/>
              <w:jc w:val="center"/>
              <w:rPr>
                <w:sz w:val="20"/>
                <w:szCs w:val="20"/>
                <w:lang w:eastAsia="lv-LV"/>
              </w:rPr>
            </w:pPr>
            <w:r>
              <w:rPr>
                <w:sz w:val="20"/>
                <w:szCs w:val="20"/>
                <w:lang w:eastAsia="lv-LV"/>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2241F7D"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12" w:type="dxa"/>
            <w:tcBorders>
              <w:top w:val="single" w:sz="4" w:space="0" w:color="000000"/>
              <w:left w:val="single" w:sz="4" w:space="0" w:color="000000"/>
              <w:bottom w:val="single" w:sz="4" w:space="0" w:color="000000"/>
              <w:right w:val="single" w:sz="4" w:space="0" w:color="000000"/>
            </w:tcBorders>
            <w:vAlign w:val="center"/>
          </w:tcPr>
          <w:p w14:paraId="5ED8C105"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3C71C903"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74395D04" w14:textId="77777777" w:rsidR="00087872" w:rsidRDefault="00256B13">
            <w:pPr>
              <w:widowControl w:val="0"/>
              <w:spacing w:after="0" w:line="240" w:lineRule="auto"/>
              <w:jc w:val="center"/>
              <w:rPr>
                <w:sz w:val="20"/>
                <w:szCs w:val="20"/>
              </w:rPr>
            </w:pPr>
            <w:r>
              <w:rPr>
                <w:sz w:val="20"/>
                <w:szCs w:val="20"/>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57B255FE" w14:textId="77777777" w:rsidR="00087872" w:rsidRDefault="00256B13">
            <w:pPr>
              <w:widowControl w:val="0"/>
              <w:spacing w:after="0" w:line="240" w:lineRule="auto"/>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14:paraId="6F99CEB5" w14:textId="77777777" w:rsidR="00087872" w:rsidRDefault="00256B13">
            <w:pPr>
              <w:widowControl w:val="0"/>
              <w:spacing w:after="0" w:line="240" w:lineRule="auto"/>
              <w:jc w:val="center"/>
              <w:rPr>
                <w:sz w:val="20"/>
                <w:szCs w:val="20"/>
              </w:rPr>
            </w:pPr>
            <w:r>
              <w:rPr>
                <w:sz w:val="20"/>
                <w:szCs w:val="20"/>
              </w:rPr>
              <w:t>2</w:t>
            </w:r>
          </w:p>
        </w:tc>
      </w:tr>
      <w:tr w:rsidR="00087872" w14:paraId="4826498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9604A8B" w14:textId="77777777" w:rsidR="00087872" w:rsidRDefault="00256B13">
            <w:pPr>
              <w:widowControl w:val="0"/>
              <w:spacing w:after="0" w:line="240" w:lineRule="auto"/>
              <w:jc w:val="center"/>
              <w:rPr>
                <w:sz w:val="20"/>
                <w:szCs w:val="20"/>
                <w:lang w:eastAsia="lv-LV"/>
              </w:rPr>
            </w:pPr>
            <w:r>
              <w:rPr>
                <w:sz w:val="20"/>
                <w:szCs w:val="20"/>
                <w:lang w:eastAsia="lv-LV"/>
              </w:rPr>
              <w:t>Aprūpētājs (2)</w:t>
            </w:r>
          </w:p>
        </w:tc>
        <w:tc>
          <w:tcPr>
            <w:tcW w:w="568" w:type="dxa"/>
            <w:tcBorders>
              <w:top w:val="single" w:sz="4" w:space="0" w:color="000000"/>
              <w:left w:val="single" w:sz="4" w:space="0" w:color="000000"/>
              <w:bottom w:val="single" w:sz="4" w:space="0" w:color="000000"/>
              <w:right w:val="single" w:sz="4" w:space="0" w:color="000000"/>
            </w:tcBorders>
            <w:vAlign w:val="center"/>
          </w:tcPr>
          <w:p w14:paraId="0E18A4B8" w14:textId="77777777" w:rsidR="00087872" w:rsidRDefault="00256B13">
            <w:pPr>
              <w:widowControl w:val="0"/>
              <w:spacing w:after="0" w:line="240" w:lineRule="auto"/>
              <w:jc w:val="center"/>
              <w:rPr>
                <w:sz w:val="20"/>
                <w:szCs w:val="20"/>
                <w:lang w:eastAsia="lv-LV"/>
              </w:rPr>
            </w:pPr>
            <w:r>
              <w:rPr>
                <w:sz w:val="20"/>
                <w:szCs w:val="20"/>
                <w:lang w:eastAsia="lv-LV"/>
              </w:rPr>
              <w:t>154</w:t>
            </w:r>
          </w:p>
        </w:tc>
        <w:tc>
          <w:tcPr>
            <w:tcW w:w="708" w:type="dxa"/>
            <w:tcBorders>
              <w:top w:val="single" w:sz="4" w:space="0" w:color="000000"/>
              <w:left w:val="single" w:sz="4" w:space="0" w:color="000000"/>
              <w:bottom w:val="single" w:sz="4" w:space="0" w:color="000000"/>
              <w:right w:val="single" w:sz="4" w:space="0" w:color="000000"/>
            </w:tcBorders>
            <w:vAlign w:val="center"/>
          </w:tcPr>
          <w:p w14:paraId="6273E1BC" w14:textId="77777777" w:rsidR="00087872" w:rsidRDefault="00256B13">
            <w:pPr>
              <w:widowControl w:val="0"/>
              <w:spacing w:after="0" w:line="240" w:lineRule="auto"/>
              <w:jc w:val="center"/>
              <w:rPr>
                <w:sz w:val="20"/>
                <w:szCs w:val="20"/>
                <w:lang w:eastAsia="lv-LV"/>
              </w:rPr>
            </w:pPr>
            <w:r>
              <w:rPr>
                <w:sz w:val="20"/>
                <w:szCs w:val="20"/>
                <w:lang w:eastAsia="lv-LV"/>
              </w:rPr>
              <w:t>279</w:t>
            </w:r>
          </w:p>
        </w:tc>
        <w:tc>
          <w:tcPr>
            <w:tcW w:w="712" w:type="dxa"/>
            <w:tcBorders>
              <w:top w:val="single" w:sz="4" w:space="0" w:color="000000"/>
              <w:left w:val="single" w:sz="4" w:space="0" w:color="000000"/>
              <w:bottom w:val="single" w:sz="4" w:space="0" w:color="000000"/>
              <w:right w:val="single" w:sz="4" w:space="0" w:color="000000"/>
            </w:tcBorders>
            <w:vAlign w:val="center"/>
          </w:tcPr>
          <w:p w14:paraId="12A7E0A9" w14:textId="77777777" w:rsidR="00087872" w:rsidRDefault="00256B13">
            <w:pPr>
              <w:widowControl w:val="0"/>
              <w:spacing w:after="0" w:line="240" w:lineRule="auto"/>
              <w:jc w:val="center"/>
              <w:rPr>
                <w:sz w:val="20"/>
                <w:szCs w:val="20"/>
                <w:lang w:eastAsia="lv-LV"/>
              </w:rPr>
            </w:pPr>
            <w:r>
              <w:rPr>
                <w:sz w:val="20"/>
                <w:szCs w:val="20"/>
                <w:lang w:eastAsia="lv-LV"/>
              </w:rPr>
              <w:t>272</w:t>
            </w:r>
          </w:p>
        </w:tc>
        <w:tc>
          <w:tcPr>
            <w:tcW w:w="708" w:type="dxa"/>
            <w:tcBorders>
              <w:top w:val="single" w:sz="4" w:space="0" w:color="000000"/>
              <w:left w:val="single" w:sz="4" w:space="0" w:color="000000"/>
              <w:bottom w:val="single" w:sz="4" w:space="0" w:color="000000"/>
              <w:right w:val="single" w:sz="4" w:space="0" w:color="000000"/>
            </w:tcBorders>
            <w:vAlign w:val="center"/>
          </w:tcPr>
          <w:p w14:paraId="4D62746F" w14:textId="77777777" w:rsidR="00087872" w:rsidRDefault="00256B13">
            <w:pPr>
              <w:widowControl w:val="0"/>
              <w:spacing w:after="0" w:line="240" w:lineRule="auto"/>
              <w:jc w:val="center"/>
              <w:rPr>
                <w:sz w:val="20"/>
                <w:szCs w:val="20"/>
              </w:rPr>
            </w:pPr>
            <w:r>
              <w:rPr>
                <w:sz w:val="20"/>
                <w:szCs w:val="20"/>
              </w:rPr>
              <w:t>114</w:t>
            </w:r>
          </w:p>
        </w:tc>
        <w:tc>
          <w:tcPr>
            <w:tcW w:w="707" w:type="dxa"/>
            <w:tcBorders>
              <w:top w:val="single" w:sz="4" w:space="0" w:color="000000"/>
              <w:left w:val="single" w:sz="4" w:space="0" w:color="000000"/>
              <w:bottom w:val="single" w:sz="4" w:space="0" w:color="000000"/>
              <w:right w:val="single" w:sz="4" w:space="0" w:color="000000"/>
            </w:tcBorders>
            <w:vAlign w:val="center"/>
          </w:tcPr>
          <w:p w14:paraId="55199346" w14:textId="77777777" w:rsidR="00087872" w:rsidRDefault="00256B13">
            <w:pPr>
              <w:widowControl w:val="0"/>
              <w:spacing w:after="0" w:line="240" w:lineRule="auto"/>
              <w:jc w:val="center"/>
              <w:rPr>
                <w:sz w:val="20"/>
                <w:szCs w:val="20"/>
              </w:rPr>
            </w:pPr>
            <w:r>
              <w:rPr>
                <w:sz w:val="20"/>
                <w:szCs w:val="20"/>
              </w:rPr>
              <w:t>160</w:t>
            </w:r>
          </w:p>
        </w:tc>
        <w:tc>
          <w:tcPr>
            <w:tcW w:w="851" w:type="dxa"/>
            <w:tcBorders>
              <w:top w:val="single" w:sz="4" w:space="0" w:color="000000"/>
              <w:left w:val="single" w:sz="4" w:space="0" w:color="000000"/>
              <w:bottom w:val="single" w:sz="4" w:space="0" w:color="000000"/>
              <w:right w:val="single" w:sz="4" w:space="0" w:color="000000"/>
            </w:tcBorders>
            <w:vAlign w:val="center"/>
          </w:tcPr>
          <w:p w14:paraId="5133D32C" w14:textId="77777777" w:rsidR="00087872" w:rsidRDefault="00256B13">
            <w:pPr>
              <w:widowControl w:val="0"/>
              <w:spacing w:after="0" w:line="240" w:lineRule="auto"/>
              <w:jc w:val="center"/>
              <w:rPr>
                <w:sz w:val="20"/>
                <w:szCs w:val="20"/>
              </w:rPr>
            </w:pPr>
            <w:r>
              <w:rPr>
                <w:sz w:val="20"/>
                <w:szCs w:val="20"/>
              </w:rPr>
              <w:t>128</w:t>
            </w:r>
          </w:p>
        </w:tc>
        <w:tc>
          <w:tcPr>
            <w:tcW w:w="1133" w:type="dxa"/>
            <w:tcBorders>
              <w:top w:val="single" w:sz="4" w:space="0" w:color="000000"/>
              <w:left w:val="single" w:sz="4" w:space="0" w:color="000000"/>
              <w:bottom w:val="single" w:sz="4" w:space="0" w:color="000000"/>
              <w:right w:val="single" w:sz="4" w:space="0" w:color="000000"/>
            </w:tcBorders>
            <w:vAlign w:val="center"/>
          </w:tcPr>
          <w:p w14:paraId="4C392AA8" w14:textId="77777777" w:rsidR="00087872" w:rsidRDefault="00256B13">
            <w:pPr>
              <w:widowControl w:val="0"/>
              <w:spacing w:after="0" w:line="240" w:lineRule="auto"/>
              <w:jc w:val="center"/>
              <w:rPr>
                <w:sz w:val="20"/>
                <w:szCs w:val="20"/>
              </w:rPr>
            </w:pPr>
            <w:r>
              <w:rPr>
                <w:sz w:val="20"/>
                <w:szCs w:val="20"/>
              </w:rPr>
              <w:t>164</w:t>
            </w:r>
          </w:p>
        </w:tc>
      </w:tr>
      <w:tr w:rsidR="00087872" w14:paraId="4CCD024D"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FE04384" w14:textId="77777777" w:rsidR="00087872" w:rsidRDefault="00256B13">
            <w:pPr>
              <w:widowControl w:val="0"/>
              <w:spacing w:after="0" w:line="240" w:lineRule="auto"/>
              <w:jc w:val="center"/>
              <w:rPr>
                <w:sz w:val="20"/>
                <w:szCs w:val="20"/>
                <w:lang w:eastAsia="lv-LV"/>
              </w:rPr>
            </w:pPr>
            <w:r>
              <w:rPr>
                <w:sz w:val="20"/>
                <w:szCs w:val="20"/>
                <w:lang w:eastAsia="lv-LV"/>
              </w:rPr>
              <w:t>Apavu labotājs (2)</w:t>
            </w:r>
          </w:p>
        </w:tc>
        <w:tc>
          <w:tcPr>
            <w:tcW w:w="568" w:type="dxa"/>
            <w:tcBorders>
              <w:top w:val="single" w:sz="4" w:space="0" w:color="000000"/>
              <w:left w:val="single" w:sz="4" w:space="0" w:color="000000"/>
              <w:bottom w:val="single" w:sz="4" w:space="0" w:color="000000"/>
              <w:right w:val="single" w:sz="4" w:space="0" w:color="000000"/>
            </w:tcBorders>
            <w:vAlign w:val="center"/>
          </w:tcPr>
          <w:p w14:paraId="598B1FF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956B1E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1DF4D7D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085D64"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CF3B7D2" w14:textId="77777777" w:rsidR="00087872" w:rsidRDefault="00256B13">
            <w:pPr>
              <w:widowControl w:val="0"/>
              <w:spacing w:after="0" w:line="240" w:lineRule="auto"/>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6CDFBBB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E325AAA" w14:textId="77777777" w:rsidR="00087872" w:rsidRDefault="00256B13">
            <w:pPr>
              <w:widowControl w:val="0"/>
              <w:spacing w:after="0" w:line="240" w:lineRule="auto"/>
              <w:jc w:val="center"/>
              <w:rPr>
                <w:sz w:val="20"/>
                <w:szCs w:val="20"/>
              </w:rPr>
            </w:pPr>
            <w:r>
              <w:rPr>
                <w:sz w:val="20"/>
                <w:szCs w:val="20"/>
              </w:rPr>
              <w:t>-</w:t>
            </w:r>
          </w:p>
        </w:tc>
      </w:tr>
      <w:tr w:rsidR="00087872" w14:paraId="3C30637E"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FDE15F1" w14:textId="77777777" w:rsidR="00087872" w:rsidRDefault="00256B13">
            <w:pPr>
              <w:widowControl w:val="0"/>
              <w:spacing w:after="0" w:line="240" w:lineRule="auto"/>
              <w:jc w:val="center"/>
              <w:rPr>
                <w:sz w:val="20"/>
                <w:szCs w:val="20"/>
                <w:lang w:eastAsia="lv-LV"/>
              </w:rPr>
            </w:pPr>
            <w:r>
              <w:rPr>
                <w:sz w:val="20"/>
                <w:szCs w:val="20"/>
                <w:lang w:eastAsia="lv-LV"/>
              </w:rPr>
              <w:t>Auklis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5FCB3D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A8B16BE" w14:textId="77777777" w:rsidR="00087872" w:rsidRDefault="00256B13">
            <w:pPr>
              <w:widowControl w:val="0"/>
              <w:spacing w:after="0" w:line="240" w:lineRule="auto"/>
              <w:jc w:val="center"/>
              <w:rPr>
                <w:sz w:val="20"/>
                <w:szCs w:val="20"/>
                <w:lang w:eastAsia="lv-LV"/>
              </w:rPr>
            </w:pPr>
            <w:r>
              <w:rPr>
                <w:sz w:val="20"/>
                <w:szCs w:val="20"/>
                <w:lang w:eastAsia="lv-LV"/>
              </w:rPr>
              <w:t>25</w:t>
            </w:r>
          </w:p>
        </w:tc>
        <w:tc>
          <w:tcPr>
            <w:tcW w:w="712" w:type="dxa"/>
            <w:tcBorders>
              <w:top w:val="single" w:sz="4" w:space="0" w:color="000000"/>
              <w:left w:val="single" w:sz="4" w:space="0" w:color="000000"/>
              <w:bottom w:val="single" w:sz="4" w:space="0" w:color="000000"/>
              <w:right w:val="single" w:sz="4" w:space="0" w:color="000000"/>
            </w:tcBorders>
            <w:vAlign w:val="center"/>
          </w:tcPr>
          <w:p w14:paraId="04F44B3F" w14:textId="77777777" w:rsidR="00087872" w:rsidRDefault="00256B13">
            <w:pPr>
              <w:widowControl w:val="0"/>
              <w:spacing w:after="0" w:line="240" w:lineRule="auto"/>
              <w:jc w:val="center"/>
              <w:rPr>
                <w:sz w:val="20"/>
                <w:szCs w:val="20"/>
                <w:lang w:eastAsia="lv-LV"/>
              </w:rPr>
            </w:pPr>
            <w:r>
              <w:rPr>
                <w:sz w:val="20"/>
                <w:szCs w:val="20"/>
                <w:lang w:eastAsia="lv-LV"/>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2AF769A8"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709D2D97"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8EAF8B5"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9542586" w14:textId="77777777" w:rsidR="00087872" w:rsidRDefault="00256B13">
            <w:pPr>
              <w:widowControl w:val="0"/>
              <w:spacing w:after="0" w:line="240" w:lineRule="auto"/>
              <w:jc w:val="center"/>
              <w:rPr>
                <w:sz w:val="20"/>
                <w:szCs w:val="20"/>
              </w:rPr>
            </w:pPr>
            <w:r>
              <w:rPr>
                <w:sz w:val="20"/>
                <w:szCs w:val="20"/>
              </w:rPr>
              <w:t>-</w:t>
            </w:r>
          </w:p>
        </w:tc>
      </w:tr>
      <w:tr w:rsidR="00087872" w14:paraId="0B10AC8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7659C23" w14:textId="77777777" w:rsidR="00087872" w:rsidRDefault="00256B13">
            <w:pPr>
              <w:widowControl w:val="0"/>
              <w:spacing w:after="0" w:line="240" w:lineRule="auto"/>
              <w:jc w:val="center"/>
              <w:rPr>
                <w:sz w:val="20"/>
                <w:szCs w:val="20"/>
                <w:lang w:eastAsia="lv-LV"/>
              </w:rPr>
            </w:pPr>
            <w:r>
              <w:rPr>
                <w:sz w:val="20"/>
                <w:szCs w:val="20"/>
                <w:lang w:eastAsia="lv-LV"/>
              </w:rPr>
              <w:t>Atslēdznieks (2)</w:t>
            </w:r>
          </w:p>
        </w:tc>
        <w:tc>
          <w:tcPr>
            <w:tcW w:w="568" w:type="dxa"/>
            <w:tcBorders>
              <w:top w:val="single" w:sz="4" w:space="0" w:color="000000"/>
              <w:left w:val="single" w:sz="4" w:space="0" w:color="000000"/>
              <w:bottom w:val="single" w:sz="4" w:space="0" w:color="000000"/>
              <w:right w:val="single" w:sz="4" w:space="0" w:color="000000"/>
            </w:tcBorders>
            <w:vAlign w:val="center"/>
          </w:tcPr>
          <w:p w14:paraId="0023A982"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732A9BF1" w14:textId="77777777" w:rsidR="00087872" w:rsidRDefault="00256B13">
            <w:pPr>
              <w:widowControl w:val="0"/>
              <w:spacing w:after="0" w:line="240" w:lineRule="auto"/>
              <w:jc w:val="center"/>
              <w:rPr>
                <w:sz w:val="20"/>
                <w:szCs w:val="20"/>
                <w:lang w:eastAsia="lv-LV"/>
              </w:rPr>
            </w:pPr>
            <w:r>
              <w:rPr>
                <w:sz w:val="20"/>
                <w:szCs w:val="20"/>
                <w:lang w:eastAsia="lv-LV"/>
              </w:rPr>
              <w:t>6</w:t>
            </w:r>
          </w:p>
        </w:tc>
        <w:tc>
          <w:tcPr>
            <w:tcW w:w="712" w:type="dxa"/>
            <w:tcBorders>
              <w:top w:val="single" w:sz="4" w:space="0" w:color="000000"/>
              <w:left w:val="single" w:sz="4" w:space="0" w:color="000000"/>
              <w:bottom w:val="single" w:sz="4" w:space="0" w:color="000000"/>
              <w:right w:val="single" w:sz="4" w:space="0" w:color="000000"/>
            </w:tcBorders>
            <w:vAlign w:val="center"/>
          </w:tcPr>
          <w:p w14:paraId="44AD63D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ADBF790"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73B51B96"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04640"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DC3C95B" w14:textId="77777777" w:rsidR="00087872" w:rsidRDefault="00256B13">
            <w:pPr>
              <w:widowControl w:val="0"/>
              <w:spacing w:after="0" w:line="240" w:lineRule="auto"/>
              <w:jc w:val="center"/>
              <w:rPr>
                <w:sz w:val="20"/>
                <w:szCs w:val="20"/>
              </w:rPr>
            </w:pPr>
            <w:r>
              <w:rPr>
                <w:sz w:val="20"/>
                <w:szCs w:val="20"/>
              </w:rPr>
              <w:t>-</w:t>
            </w:r>
          </w:p>
        </w:tc>
      </w:tr>
      <w:tr w:rsidR="00087872" w14:paraId="4D3CAC6F"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9B7BCA5" w14:textId="77777777" w:rsidR="00087872" w:rsidRDefault="00256B13">
            <w:pPr>
              <w:widowControl w:val="0"/>
              <w:spacing w:after="0" w:line="240" w:lineRule="auto"/>
              <w:jc w:val="center"/>
              <w:rPr>
                <w:sz w:val="20"/>
                <w:szCs w:val="20"/>
                <w:lang w:eastAsia="lv-LV"/>
              </w:rPr>
            </w:pPr>
            <w:r>
              <w:rPr>
                <w:sz w:val="20"/>
                <w:szCs w:val="20"/>
                <w:lang w:eastAsia="lv-LV"/>
              </w:rPr>
              <w:t>Autoatslēdznieks (2)</w:t>
            </w:r>
          </w:p>
        </w:tc>
        <w:tc>
          <w:tcPr>
            <w:tcW w:w="568" w:type="dxa"/>
            <w:tcBorders>
              <w:top w:val="single" w:sz="4" w:space="0" w:color="000000"/>
              <w:left w:val="single" w:sz="4" w:space="0" w:color="000000"/>
              <w:bottom w:val="single" w:sz="4" w:space="0" w:color="000000"/>
              <w:right w:val="single" w:sz="4" w:space="0" w:color="000000"/>
            </w:tcBorders>
            <w:vAlign w:val="center"/>
          </w:tcPr>
          <w:p w14:paraId="38CCB43F" w14:textId="77777777" w:rsidR="00087872" w:rsidRDefault="00256B13">
            <w:pPr>
              <w:widowControl w:val="0"/>
              <w:spacing w:after="0" w:line="240" w:lineRule="auto"/>
              <w:jc w:val="center"/>
              <w:rPr>
                <w:sz w:val="20"/>
                <w:szCs w:val="20"/>
                <w:lang w:eastAsia="lv-LV"/>
              </w:rPr>
            </w:pPr>
            <w:r>
              <w:rPr>
                <w:sz w:val="20"/>
                <w:szCs w:val="20"/>
                <w:lang w:eastAsia="lv-LV"/>
              </w:rPr>
              <w:t>28</w:t>
            </w:r>
          </w:p>
        </w:tc>
        <w:tc>
          <w:tcPr>
            <w:tcW w:w="708" w:type="dxa"/>
            <w:tcBorders>
              <w:top w:val="single" w:sz="4" w:space="0" w:color="000000"/>
              <w:left w:val="single" w:sz="4" w:space="0" w:color="000000"/>
              <w:bottom w:val="single" w:sz="4" w:space="0" w:color="000000"/>
              <w:right w:val="single" w:sz="4" w:space="0" w:color="000000"/>
            </w:tcBorders>
            <w:vAlign w:val="center"/>
          </w:tcPr>
          <w:p w14:paraId="202BB878" w14:textId="77777777" w:rsidR="00087872" w:rsidRDefault="00256B13">
            <w:pPr>
              <w:widowControl w:val="0"/>
              <w:spacing w:after="0" w:line="240" w:lineRule="auto"/>
              <w:jc w:val="center"/>
              <w:rPr>
                <w:sz w:val="20"/>
                <w:szCs w:val="20"/>
                <w:lang w:eastAsia="lv-LV"/>
              </w:rPr>
            </w:pPr>
            <w:r>
              <w:rPr>
                <w:sz w:val="20"/>
                <w:szCs w:val="20"/>
                <w:lang w:eastAsia="lv-LV"/>
              </w:rPr>
              <w:t>17</w:t>
            </w:r>
          </w:p>
        </w:tc>
        <w:tc>
          <w:tcPr>
            <w:tcW w:w="712" w:type="dxa"/>
            <w:tcBorders>
              <w:top w:val="single" w:sz="4" w:space="0" w:color="000000"/>
              <w:left w:val="single" w:sz="4" w:space="0" w:color="000000"/>
              <w:bottom w:val="single" w:sz="4" w:space="0" w:color="000000"/>
              <w:right w:val="single" w:sz="4" w:space="0" w:color="000000"/>
            </w:tcBorders>
            <w:vAlign w:val="center"/>
          </w:tcPr>
          <w:p w14:paraId="4850966E" w14:textId="77777777" w:rsidR="00087872" w:rsidRDefault="00256B13">
            <w:pPr>
              <w:widowControl w:val="0"/>
              <w:spacing w:after="0" w:line="240" w:lineRule="auto"/>
              <w:jc w:val="center"/>
              <w:rPr>
                <w:sz w:val="20"/>
                <w:szCs w:val="20"/>
                <w:lang w:eastAsia="lv-LV"/>
              </w:rPr>
            </w:pPr>
            <w:r>
              <w:rPr>
                <w:sz w:val="20"/>
                <w:szCs w:val="20"/>
                <w:lang w:eastAsia="lv-LV"/>
              </w:rPr>
              <w:t>22</w:t>
            </w:r>
          </w:p>
        </w:tc>
        <w:tc>
          <w:tcPr>
            <w:tcW w:w="708" w:type="dxa"/>
            <w:tcBorders>
              <w:top w:val="single" w:sz="4" w:space="0" w:color="000000"/>
              <w:left w:val="single" w:sz="4" w:space="0" w:color="000000"/>
              <w:bottom w:val="single" w:sz="4" w:space="0" w:color="000000"/>
              <w:right w:val="single" w:sz="4" w:space="0" w:color="000000"/>
            </w:tcBorders>
            <w:vAlign w:val="center"/>
          </w:tcPr>
          <w:p w14:paraId="56A7D4B3" w14:textId="77777777" w:rsidR="00087872" w:rsidRDefault="00256B13">
            <w:pPr>
              <w:widowControl w:val="0"/>
              <w:spacing w:after="0" w:line="240" w:lineRule="auto"/>
              <w:jc w:val="center"/>
              <w:rPr>
                <w:sz w:val="20"/>
                <w:szCs w:val="20"/>
              </w:rPr>
            </w:pPr>
            <w:r>
              <w:rPr>
                <w:sz w:val="20"/>
                <w:szCs w:val="20"/>
              </w:rPr>
              <w:t>26</w:t>
            </w:r>
          </w:p>
        </w:tc>
        <w:tc>
          <w:tcPr>
            <w:tcW w:w="707" w:type="dxa"/>
            <w:tcBorders>
              <w:top w:val="single" w:sz="4" w:space="0" w:color="000000"/>
              <w:left w:val="single" w:sz="4" w:space="0" w:color="000000"/>
              <w:bottom w:val="single" w:sz="4" w:space="0" w:color="000000"/>
              <w:right w:val="single" w:sz="4" w:space="0" w:color="000000"/>
            </w:tcBorders>
            <w:vAlign w:val="center"/>
          </w:tcPr>
          <w:p w14:paraId="7F97AF97"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9382884" w14:textId="77777777" w:rsidR="00087872" w:rsidRDefault="00256B13">
            <w:pPr>
              <w:widowControl w:val="0"/>
              <w:spacing w:after="0" w:line="240" w:lineRule="auto"/>
              <w:jc w:val="center"/>
              <w:rPr>
                <w:sz w:val="20"/>
                <w:szCs w:val="20"/>
              </w:rPr>
            </w:pPr>
            <w:r>
              <w:rPr>
                <w:sz w:val="20"/>
                <w:szCs w:val="20"/>
              </w:rPr>
              <w:t>34</w:t>
            </w:r>
          </w:p>
        </w:tc>
        <w:tc>
          <w:tcPr>
            <w:tcW w:w="1133" w:type="dxa"/>
            <w:tcBorders>
              <w:top w:val="single" w:sz="4" w:space="0" w:color="000000"/>
              <w:left w:val="single" w:sz="4" w:space="0" w:color="000000"/>
              <w:bottom w:val="single" w:sz="4" w:space="0" w:color="000000"/>
              <w:right w:val="single" w:sz="4" w:space="0" w:color="000000"/>
            </w:tcBorders>
            <w:vAlign w:val="center"/>
          </w:tcPr>
          <w:p w14:paraId="7A77491C" w14:textId="77777777" w:rsidR="00087872" w:rsidRDefault="00256B13">
            <w:pPr>
              <w:widowControl w:val="0"/>
              <w:spacing w:after="0" w:line="240" w:lineRule="auto"/>
              <w:jc w:val="center"/>
              <w:rPr>
                <w:sz w:val="20"/>
                <w:szCs w:val="20"/>
              </w:rPr>
            </w:pPr>
            <w:r>
              <w:rPr>
                <w:sz w:val="20"/>
                <w:szCs w:val="20"/>
              </w:rPr>
              <w:t>15</w:t>
            </w:r>
          </w:p>
        </w:tc>
      </w:tr>
      <w:tr w:rsidR="00087872" w14:paraId="705525E0"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BB00281" w14:textId="77777777" w:rsidR="00087872" w:rsidRDefault="00256B13">
            <w:pPr>
              <w:widowControl w:val="0"/>
              <w:spacing w:after="0" w:line="240" w:lineRule="auto"/>
              <w:jc w:val="center"/>
              <w:rPr>
                <w:sz w:val="20"/>
                <w:szCs w:val="20"/>
                <w:lang w:eastAsia="lv-LV"/>
              </w:rPr>
            </w:pPr>
            <w:proofErr w:type="spellStart"/>
            <w:r>
              <w:rPr>
                <w:sz w:val="20"/>
                <w:szCs w:val="20"/>
                <w:lang w:eastAsia="lv-LV"/>
              </w:rPr>
              <w:t>Autoelektriķis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1A5CE316" w14:textId="77777777" w:rsidR="00087872" w:rsidRDefault="00256B13">
            <w:pPr>
              <w:widowControl w:val="0"/>
              <w:spacing w:after="0" w:line="240" w:lineRule="auto"/>
              <w:jc w:val="center"/>
              <w:rPr>
                <w:sz w:val="20"/>
                <w:szCs w:val="20"/>
                <w:lang w:eastAsia="lv-LV"/>
              </w:rPr>
            </w:pPr>
            <w:r>
              <w:rPr>
                <w:sz w:val="20"/>
                <w:szCs w:val="20"/>
                <w:lang w:eastAsia="lv-LV"/>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78807CC2" w14:textId="77777777" w:rsidR="00087872" w:rsidRDefault="00256B13">
            <w:pPr>
              <w:widowControl w:val="0"/>
              <w:spacing w:after="0" w:line="240" w:lineRule="auto"/>
              <w:jc w:val="center"/>
              <w:rPr>
                <w:sz w:val="20"/>
                <w:szCs w:val="20"/>
                <w:lang w:eastAsia="lv-LV"/>
              </w:rPr>
            </w:pPr>
            <w:r>
              <w:rPr>
                <w:sz w:val="20"/>
                <w:szCs w:val="20"/>
                <w:lang w:eastAsia="lv-LV"/>
              </w:rPr>
              <w:t>18</w:t>
            </w:r>
          </w:p>
        </w:tc>
        <w:tc>
          <w:tcPr>
            <w:tcW w:w="712" w:type="dxa"/>
            <w:tcBorders>
              <w:top w:val="single" w:sz="4" w:space="0" w:color="000000"/>
              <w:left w:val="single" w:sz="4" w:space="0" w:color="000000"/>
              <w:bottom w:val="single" w:sz="4" w:space="0" w:color="000000"/>
              <w:right w:val="single" w:sz="4" w:space="0" w:color="000000"/>
            </w:tcBorders>
            <w:vAlign w:val="center"/>
          </w:tcPr>
          <w:p w14:paraId="743F2066"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34CAE80F"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7355CCA"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35AD51"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746C088" w14:textId="77777777" w:rsidR="00087872" w:rsidRDefault="00256B13">
            <w:pPr>
              <w:widowControl w:val="0"/>
              <w:spacing w:after="0" w:line="240" w:lineRule="auto"/>
              <w:jc w:val="center"/>
              <w:rPr>
                <w:sz w:val="20"/>
                <w:szCs w:val="20"/>
              </w:rPr>
            </w:pPr>
            <w:r>
              <w:rPr>
                <w:sz w:val="20"/>
                <w:szCs w:val="20"/>
              </w:rPr>
              <w:t>-</w:t>
            </w:r>
          </w:p>
        </w:tc>
      </w:tr>
      <w:tr w:rsidR="00087872" w14:paraId="2B9EFBC3"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D9B07FA" w14:textId="77777777" w:rsidR="00087872" w:rsidRDefault="00256B13">
            <w:pPr>
              <w:widowControl w:val="0"/>
              <w:spacing w:after="0" w:line="240" w:lineRule="auto"/>
              <w:jc w:val="center"/>
              <w:rPr>
                <w:sz w:val="20"/>
                <w:szCs w:val="20"/>
                <w:lang w:eastAsia="lv-LV"/>
              </w:rPr>
            </w:pPr>
            <w:proofErr w:type="spellStart"/>
            <w:r>
              <w:rPr>
                <w:sz w:val="20"/>
                <w:szCs w:val="20"/>
                <w:lang w:eastAsia="lv-LV"/>
              </w:rPr>
              <w:t>Autodiagnostiķis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0F8DB034"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9AD7F1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1FF0E0F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6F3D84B" w14:textId="77777777" w:rsidR="00087872" w:rsidRDefault="00256B13">
            <w:pPr>
              <w:widowControl w:val="0"/>
              <w:spacing w:after="0" w:line="240" w:lineRule="auto"/>
              <w:jc w:val="center"/>
              <w:rPr>
                <w:sz w:val="20"/>
                <w:szCs w:val="20"/>
              </w:rPr>
            </w:pPr>
            <w:r>
              <w:rPr>
                <w:sz w:val="20"/>
                <w:szCs w:val="20"/>
              </w:rPr>
              <w:t>6</w:t>
            </w:r>
          </w:p>
        </w:tc>
        <w:tc>
          <w:tcPr>
            <w:tcW w:w="707" w:type="dxa"/>
            <w:tcBorders>
              <w:top w:val="single" w:sz="4" w:space="0" w:color="000000"/>
              <w:left w:val="single" w:sz="4" w:space="0" w:color="000000"/>
              <w:bottom w:val="single" w:sz="4" w:space="0" w:color="000000"/>
              <w:right w:val="single" w:sz="4" w:space="0" w:color="000000"/>
            </w:tcBorders>
            <w:vAlign w:val="center"/>
          </w:tcPr>
          <w:p w14:paraId="03BDB0A8" w14:textId="77777777" w:rsidR="00087872" w:rsidRDefault="00256B13">
            <w:pPr>
              <w:widowControl w:val="0"/>
              <w:spacing w:after="0" w:line="240" w:lineRule="auto"/>
              <w:jc w:val="center"/>
              <w:rPr>
                <w:sz w:val="20"/>
                <w:szCs w:val="20"/>
              </w:rPr>
            </w:pPr>
            <w:r>
              <w:rPr>
                <w:sz w:val="20"/>
                <w:szCs w:val="20"/>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1F2ED6C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2F35209" w14:textId="77777777" w:rsidR="00087872" w:rsidRDefault="00256B13">
            <w:pPr>
              <w:widowControl w:val="0"/>
              <w:spacing w:after="0" w:line="240" w:lineRule="auto"/>
              <w:jc w:val="center"/>
              <w:rPr>
                <w:sz w:val="20"/>
                <w:szCs w:val="20"/>
              </w:rPr>
            </w:pPr>
            <w:r>
              <w:rPr>
                <w:sz w:val="20"/>
                <w:szCs w:val="20"/>
              </w:rPr>
              <w:t>-</w:t>
            </w:r>
          </w:p>
        </w:tc>
      </w:tr>
      <w:tr w:rsidR="00087872" w14:paraId="4CC82ACA"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D2D2F2D" w14:textId="77777777" w:rsidR="00087872" w:rsidRDefault="00256B13">
            <w:pPr>
              <w:widowControl w:val="0"/>
              <w:spacing w:after="0" w:line="240" w:lineRule="auto"/>
              <w:jc w:val="center"/>
              <w:rPr>
                <w:sz w:val="20"/>
                <w:szCs w:val="20"/>
                <w:lang w:eastAsia="lv-LV"/>
              </w:rPr>
            </w:pPr>
            <w:r>
              <w:rPr>
                <w:sz w:val="20"/>
                <w:szCs w:val="20"/>
                <w:lang w:eastAsia="lv-LV"/>
              </w:rPr>
              <w:t>Automehāniķis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97781D4" w14:textId="77777777" w:rsidR="00087872" w:rsidRDefault="00256B13">
            <w:pPr>
              <w:widowControl w:val="0"/>
              <w:spacing w:after="0" w:line="240" w:lineRule="auto"/>
              <w:jc w:val="center"/>
              <w:rPr>
                <w:sz w:val="20"/>
                <w:szCs w:val="20"/>
                <w:lang w:eastAsia="lv-LV"/>
              </w:rPr>
            </w:pPr>
            <w:r>
              <w:rPr>
                <w:sz w:val="20"/>
                <w:szCs w:val="20"/>
                <w:lang w:eastAsia="lv-LV"/>
              </w:rPr>
              <w:t>42</w:t>
            </w:r>
          </w:p>
        </w:tc>
        <w:tc>
          <w:tcPr>
            <w:tcW w:w="708" w:type="dxa"/>
            <w:tcBorders>
              <w:top w:val="single" w:sz="4" w:space="0" w:color="000000"/>
              <w:left w:val="single" w:sz="4" w:space="0" w:color="000000"/>
              <w:bottom w:val="single" w:sz="4" w:space="0" w:color="000000"/>
              <w:right w:val="single" w:sz="4" w:space="0" w:color="000000"/>
            </w:tcBorders>
            <w:vAlign w:val="center"/>
          </w:tcPr>
          <w:p w14:paraId="18BC6980" w14:textId="77777777" w:rsidR="00087872" w:rsidRDefault="00256B13">
            <w:pPr>
              <w:widowControl w:val="0"/>
              <w:spacing w:after="0" w:line="240" w:lineRule="auto"/>
              <w:jc w:val="center"/>
              <w:rPr>
                <w:sz w:val="20"/>
                <w:szCs w:val="20"/>
                <w:lang w:eastAsia="lv-LV"/>
              </w:rPr>
            </w:pPr>
            <w:r>
              <w:rPr>
                <w:sz w:val="20"/>
                <w:szCs w:val="20"/>
                <w:lang w:eastAsia="lv-LV"/>
              </w:rPr>
              <w:t>59</w:t>
            </w:r>
          </w:p>
        </w:tc>
        <w:tc>
          <w:tcPr>
            <w:tcW w:w="712" w:type="dxa"/>
            <w:tcBorders>
              <w:top w:val="single" w:sz="4" w:space="0" w:color="000000"/>
              <w:left w:val="single" w:sz="4" w:space="0" w:color="000000"/>
              <w:bottom w:val="single" w:sz="4" w:space="0" w:color="000000"/>
              <w:right w:val="single" w:sz="4" w:space="0" w:color="000000"/>
            </w:tcBorders>
            <w:vAlign w:val="center"/>
          </w:tcPr>
          <w:p w14:paraId="0F2811EB" w14:textId="77777777" w:rsidR="00087872" w:rsidRDefault="00256B13">
            <w:pPr>
              <w:widowControl w:val="0"/>
              <w:spacing w:after="0" w:line="240" w:lineRule="auto"/>
              <w:jc w:val="center"/>
              <w:rPr>
                <w:sz w:val="20"/>
                <w:szCs w:val="20"/>
                <w:lang w:eastAsia="lv-LV"/>
              </w:rPr>
            </w:pPr>
            <w:r>
              <w:rPr>
                <w:sz w:val="20"/>
                <w:szCs w:val="20"/>
                <w:lang w:eastAsia="lv-LV"/>
              </w:rPr>
              <w:t>38</w:t>
            </w:r>
          </w:p>
        </w:tc>
        <w:tc>
          <w:tcPr>
            <w:tcW w:w="708" w:type="dxa"/>
            <w:tcBorders>
              <w:top w:val="single" w:sz="4" w:space="0" w:color="000000"/>
              <w:left w:val="single" w:sz="4" w:space="0" w:color="000000"/>
              <w:bottom w:val="single" w:sz="4" w:space="0" w:color="000000"/>
              <w:right w:val="single" w:sz="4" w:space="0" w:color="000000"/>
            </w:tcBorders>
            <w:vAlign w:val="center"/>
          </w:tcPr>
          <w:p w14:paraId="0F44239D" w14:textId="77777777" w:rsidR="00087872" w:rsidRDefault="00256B13">
            <w:pPr>
              <w:widowControl w:val="0"/>
              <w:spacing w:after="0" w:line="240" w:lineRule="auto"/>
              <w:jc w:val="center"/>
              <w:rPr>
                <w:sz w:val="20"/>
                <w:szCs w:val="20"/>
              </w:rPr>
            </w:pPr>
            <w:r>
              <w:rPr>
                <w:sz w:val="20"/>
                <w:szCs w:val="20"/>
              </w:rPr>
              <w:t>17</w:t>
            </w:r>
          </w:p>
        </w:tc>
        <w:tc>
          <w:tcPr>
            <w:tcW w:w="707" w:type="dxa"/>
            <w:tcBorders>
              <w:top w:val="single" w:sz="4" w:space="0" w:color="000000"/>
              <w:left w:val="single" w:sz="4" w:space="0" w:color="000000"/>
              <w:bottom w:val="single" w:sz="4" w:space="0" w:color="000000"/>
              <w:right w:val="single" w:sz="4" w:space="0" w:color="000000"/>
            </w:tcBorders>
            <w:vAlign w:val="center"/>
          </w:tcPr>
          <w:p w14:paraId="4416FD33" w14:textId="77777777" w:rsidR="00087872" w:rsidRDefault="00256B13">
            <w:pPr>
              <w:widowControl w:val="0"/>
              <w:spacing w:after="0" w:line="240" w:lineRule="auto"/>
              <w:jc w:val="center"/>
              <w:rPr>
                <w:sz w:val="20"/>
                <w:szCs w:val="20"/>
              </w:rPr>
            </w:pPr>
            <w:r>
              <w:rPr>
                <w:sz w:val="20"/>
                <w:szCs w:val="20"/>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40FC6C16" w14:textId="77777777" w:rsidR="00087872" w:rsidRDefault="00256B13">
            <w:pPr>
              <w:widowControl w:val="0"/>
              <w:spacing w:after="0" w:line="240" w:lineRule="auto"/>
              <w:jc w:val="center"/>
              <w:rPr>
                <w:sz w:val="20"/>
                <w:szCs w:val="20"/>
              </w:rPr>
            </w:pPr>
            <w:r>
              <w:rPr>
                <w:sz w:val="20"/>
                <w:szCs w:val="20"/>
              </w:rPr>
              <w:t>8</w:t>
            </w:r>
          </w:p>
        </w:tc>
        <w:tc>
          <w:tcPr>
            <w:tcW w:w="1133" w:type="dxa"/>
            <w:tcBorders>
              <w:top w:val="single" w:sz="4" w:space="0" w:color="000000"/>
              <w:left w:val="single" w:sz="4" w:space="0" w:color="000000"/>
              <w:bottom w:val="single" w:sz="4" w:space="0" w:color="000000"/>
              <w:right w:val="single" w:sz="4" w:space="0" w:color="000000"/>
            </w:tcBorders>
            <w:vAlign w:val="center"/>
          </w:tcPr>
          <w:p w14:paraId="2ECB6AAD" w14:textId="77777777" w:rsidR="00087872" w:rsidRDefault="00256B13">
            <w:pPr>
              <w:widowControl w:val="0"/>
              <w:spacing w:after="0" w:line="240" w:lineRule="auto"/>
              <w:jc w:val="center"/>
              <w:rPr>
                <w:sz w:val="20"/>
                <w:szCs w:val="20"/>
              </w:rPr>
            </w:pPr>
            <w:r>
              <w:rPr>
                <w:sz w:val="20"/>
                <w:szCs w:val="20"/>
              </w:rPr>
              <w:t>10</w:t>
            </w:r>
          </w:p>
        </w:tc>
      </w:tr>
      <w:tr w:rsidR="00087872" w14:paraId="0A5AF13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61E6D36" w14:textId="77777777" w:rsidR="00087872" w:rsidRDefault="00256B13">
            <w:pPr>
              <w:widowControl w:val="0"/>
              <w:spacing w:after="0" w:line="240" w:lineRule="auto"/>
              <w:jc w:val="center"/>
              <w:rPr>
                <w:sz w:val="20"/>
                <w:szCs w:val="20"/>
                <w:lang w:eastAsia="lv-LV"/>
              </w:rPr>
            </w:pPr>
            <w:r>
              <w:rPr>
                <w:sz w:val="20"/>
                <w:szCs w:val="20"/>
                <w:lang w:eastAsia="lv-LV"/>
              </w:rPr>
              <w:t>Betonēšanas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485084B0" w14:textId="77777777" w:rsidR="00087872" w:rsidRDefault="00087872">
            <w:pPr>
              <w:widowControl w:val="0"/>
              <w:spacing w:after="0" w:line="240" w:lineRule="auto"/>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3FF2622" w14:textId="77777777" w:rsidR="00087872" w:rsidRDefault="00087872">
            <w:pPr>
              <w:widowControl w:val="0"/>
              <w:spacing w:after="0" w:line="240" w:lineRule="auto"/>
              <w:jc w:val="center"/>
              <w:rPr>
                <w:sz w:val="20"/>
                <w:szCs w:val="20"/>
                <w:lang w:eastAsia="lv-LV"/>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7E66CA27"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8663846"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489A3E2"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F60CF64"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0013BAB" w14:textId="77777777" w:rsidR="00087872" w:rsidRDefault="00256B13">
            <w:pPr>
              <w:widowControl w:val="0"/>
              <w:spacing w:after="0" w:line="240" w:lineRule="auto"/>
              <w:jc w:val="center"/>
              <w:rPr>
                <w:sz w:val="20"/>
                <w:szCs w:val="20"/>
              </w:rPr>
            </w:pPr>
            <w:r>
              <w:rPr>
                <w:sz w:val="20"/>
                <w:szCs w:val="20"/>
              </w:rPr>
              <w:t>-</w:t>
            </w:r>
          </w:p>
        </w:tc>
      </w:tr>
      <w:tr w:rsidR="00087872" w14:paraId="205DC0D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5DE428D0" w14:textId="77777777" w:rsidR="00087872" w:rsidRDefault="00256B13">
            <w:pPr>
              <w:widowControl w:val="0"/>
              <w:spacing w:after="0" w:line="240" w:lineRule="auto"/>
              <w:jc w:val="center"/>
              <w:rPr>
                <w:sz w:val="20"/>
                <w:szCs w:val="20"/>
                <w:lang w:eastAsia="lv-LV"/>
              </w:rPr>
            </w:pPr>
            <w:r>
              <w:rPr>
                <w:sz w:val="20"/>
                <w:szCs w:val="20"/>
                <w:lang w:eastAsia="lv-LV"/>
              </w:rPr>
              <w:t>Bibliotekārs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4FE9400"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5806EB7" w14:textId="77777777" w:rsidR="00087872" w:rsidRDefault="00256B13">
            <w:pPr>
              <w:widowControl w:val="0"/>
              <w:spacing w:after="0" w:line="240" w:lineRule="auto"/>
              <w:jc w:val="center"/>
              <w:rPr>
                <w:sz w:val="20"/>
                <w:szCs w:val="20"/>
                <w:lang w:eastAsia="lv-LV"/>
              </w:rPr>
            </w:pPr>
            <w:r>
              <w:rPr>
                <w:sz w:val="20"/>
                <w:szCs w:val="20"/>
                <w:lang w:eastAsia="lv-LV"/>
              </w:rPr>
              <w:t>12</w:t>
            </w:r>
          </w:p>
        </w:tc>
        <w:tc>
          <w:tcPr>
            <w:tcW w:w="712" w:type="dxa"/>
            <w:tcBorders>
              <w:top w:val="single" w:sz="4" w:space="0" w:color="000000"/>
              <w:left w:val="single" w:sz="4" w:space="0" w:color="000000"/>
              <w:bottom w:val="single" w:sz="4" w:space="0" w:color="000000"/>
              <w:right w:val="single" w:sz="4" w:space="0" w:color="000000"/>
            </w:tcBorders>
            <w:vAlign w:val="center"/>
          </w:tcPr>
          <w:p w14:paraId="2B240420" w14:textId="77777777" w:rsidR="00087872" w:rsidRDefault="00256B13">
            <w:pPr>
              <w:widowControl w:val="0"/>
              <w:spacing w:after="0" w:line="240" w:lineRule="auto"/>
              <w:jc w:val="center"/>
              <w:rPr>
                <w:sz w:val="20"/>
                <w:szCs w:val="20"/>
                <w:lang w:eastAsia="lv-LV"/>
              </w:rPr>
            </w:pPr>
            <w:r>
              <w:rPr>
                <w:sz w:val="20"/>
                <w:szCs w:val="20"/>
                <w:lang w:eastAsia="lv-LV"/>
              </w:rPr>
              <w:t>36</w:t>
            </w:r>
          </w:p>
        </w:tc>
        <w:tc>
          <w:tcPr>
            <w:tcW w:w="708" w:type="dxa"/>
            <w:tcBorders>
              <w:top w:val="single" w:sz="4" w:space="0" w:color="000000"/>
              <w:left w:val="single" w:sz="4" w:space="0" w:color="000000"/>
              <w:bottom w:val="single" w:sz="4" w:space="0" w:color="000000"/>
              <w:right w:val="single" w:sz="4" w:space="0" w:color="000000"/>
            </w:tcBorders>
            <w:vAlign w:val="center"/>
          </w:tcPr>
          <w:p w14:paraId="1FBF0875" w14:textId="77777777" w:rsidR="00087872" w:rsidRDefault="00256B13">
            <w:pPr>
              <w:widowControl w:val="0"/>
              <w:spacing w:after="0" w:line="240" w:lineRule="auto"/>
              <w:jc w:val="center"/>
              <w:rPr>
                <w:sz w:val="20"/>
                <w:szCs w:val="20"/>
              </w:rPr>
            </w:pPr>
            <w:r>
              <w:rPr>
                <w:sz w:val="20"/>
                <w:szCs w:val="20"/>
              </w:rPr>
              <w:t>29</w:t>
            </w:r>
          </w:p>
        </w:tc>
        <w:tc>
          <w:tcPr>
            <w:tcW w:w="707" w:type="dxa"/>
            <w:tcBorders>
              <w:top w:val="single" w:sz="4" w:space="0" w:color="000000"/>
              <w:left w:val="single" w:sz="4" w:space="0" w:color="000000"/>
              <w:bottom w:val="single" w:sz="4" w:space="0" w:color="000000"/>
              <w:right w:val="single" w:sz="4" w:space="0" w:color="000000"/>
            </w:tcBorders>
            <w:vAlign w:val="center"/>
          </w:tcPr>
          <w:p w14:paraId="7EB43941"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3058120" w14:textId="77777777" w:rsidR="00087872" w:rsidRDefault="00256B13">
            <w:pPr>
              <w:widowControl w:val="0"/>
              <w:spacing w:after="0" w:line="240" w:lineRule="auto"/>
              <w:jc w:val="center"/>
              <w:rPr>
                <w:sz w:val="20"/>
                <w:szCs w:val="20"/>
              </w:rPr>
            </w:pPr>
            <w:r>
              <w:rPr>
                <w:sz w:val="20"/>
                <w:szCs w:val="20"/>
              </w:rPr>
              <w:t>25</w:t>
            </w:r>
          </w:p>
        </w:tc>
        <w:tc>
          <w:tcPr>
            <w:tcW w:w="1133" w:type="dxa"/>
            <w:tcBorders>
              <w:top w:val="single" w:sz="4" w:space="0" w:color="000000"/>
              <w:left w:val="single" w:sz="4" w:space="0" w:color="000000"/>
              <w:bottom w:val="single" w:sz="4" w:space="0" w:color="000000"/>
              <w:right w:val="single" w:sz="4" w:space="0" w:color="000000"/>
            </w:tcBorders>
            <w:vAlign w:val="center"/>
          </w:tcPr>
          <w:p w14:paraId="6537950B" w14:textId="77777777" w:rsidR="00087872" w:rsidRDefault="00256B13">
            <w:pPr>
              <w:widowControl w:val="0"/>
              <w:spacing w:after="0" w:line="240" w:lineRule="auto"/>
              <w:jc w:val="center"/>
              <w:rPr>
                <w:sz w:val="20"/>
                <w:szCs w:val="20"/>
              </w:rPr>
            </w:pPr>
            <w:r>
              <w:rPr>
                <w:sz w:val="20"/>
                <w:szCs w:val="20"/>
              </w:rPr>
              <w:t>51</w:t>
            </w:r>
          </w:p>
        </w:tc>
      </w:tr>
      <w:tr w:rsidR="00087872" w14:paraId="5D33263E"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7BB6C31" w14:textId="77777777" w:rsidR="00087872" w:rsidRDefault="00256B13">
            <w:pPr>
              <w:widowControl w:val="0"/>
              <w:spacing w:after="0" w:line="240" w:lineRule="auto"/>
              <w:jc w:val="center"/>
              <w:rPr>
                <w:sz w:val="20"/>
                <w:szCs w:val="20"/>
                <w:lang w:eastAsia="lv-LV"/>
              </w:rPr>
            </w:pPr>
            <w:r>
              <w:rPr>
                <w:sz w:val="20"/>
                <w:szCs w:val="20"/>
                <w:lang w:eastAsia="lv-LV"/>
              </w:rPr>
              <w:t>Biškopis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C32723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654565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C81F20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02F7C0C"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8B688FD"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DB22754" w14:textId="77777777" w:rsidR="00087872" w:rsidRDefault="00256B13">
            <w:pPr>
              <w:widowControl w:val="0"/>
              <w:spacing w:after="0" w:line="240" w:lineRule="auto"/>
              <w:jc w:val="center"/>
              <w:rPr>
                <w:sz w:val="20"/>
                <w:szCs w:val="20"/>
              </w:rPr>
            </w:pPr>
            <w:r>
              <w:rPr>
                <w:sz w:val="20"/>
                <w:szCs w:val="20"/>
              </w:rPr>
              <w:t>64</w:t>
            </w:r>
          </w:p>
        </w:tc>
        <w:tc>
          <w:tcPr>
            <w:tcW w:w="1133" w:type="dxa"/>
            <w:tcBorders>
              <w:top w:val="single" w:sz="4" w:space="0" w:color="000000"/>
              <w:left w:val="single" w:sz="4" w:space="0" w:color="000000"/>
              <w:bottom w:val="single" w:sz="4" w:space="0" w:color="000000"/>
              <w:right w:val="single" w:sz="4" w:space="0" w:color="000000"/>
            </w:tcBorders>
            <w:vAlign w:val="center"/>
          </w:tcPr>
          <w:p w14:paraId="469BAC70" w14:textId="77777777" w:rsidR="00087872" w:rsidRDefault="00256B13">
            <w:pPr>
              <w:widowControl w:val="0"/>
              <w:spacing w:after="0" w:line="240" w:lineRule="auto"/>
              <w:jc w:val="center"/>
              <w:rPr>
                <w:sz w:val="20"/>
                <w:szCs w:val="20"/>
              </w:rPr>
            </w:pPr>
            <w:r>
              <w:rPr>
                <w:sz w:val="20"/>
                <w:szCs w:val="20"/>
              </w:rPr>
              <w:t>-</w:t>
            </w:r>
          </w:p>
        </w:tc>
      </w:tr>
      <w:tr w:rsidR="00087872" w14:paraId="3BB0A990"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E4F0566" w14:textId="77777777" w:rsidR="00087872" w:rsidRDefault="00256B13">
            <w:pPr>
              <w:widowControl w:val="0"/>
              <w:spacing w:after="0" w:line="240" w:lineRule="auto"/>
              <w:jc w:val="center"/>
              <w:rPr>
                <w:sz w:val="20"/>
                <w:szCs w:val="20"/>
                <w:lang w:eastAsia="lv-LV"/>
              </w:rPr>
            </w:pPr>
            <w:r>
              <w:rPr>
                <w:sz w:val="20"/>
                <w:szCs w:val="20"/>
                <w:lang w:eastAsia="lv-LV"/>
              </w:rPr>
              <w:t>Būvniecības un ceļu būves mašīnu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088ECA9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8FF911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2F6F32E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8014759"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41B0357"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B5BEA8F"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0425480" w14:textId="77777777" w:rsidR="00087872" w:rsidRDefault="00256B13">
            <w:pPr>
              <w:widowControl w:val="0"/>
              <w:spacing w:after="0" w:line="240" w:lineRule="auto"/>
              <w:jc w:val="center"/>
              <w:rPr>
                <w:sz w:val="20"/>
                <w:szCs w:val="20"/>
              </w:rPr>
            </w:pPr>
            <w:r>
              <w:rPr>
                <w:sz w:val="20"/>
                <w:szCs w:val="20"/>
              </w:rPr>
              <w:t>2</w:t>
            </w:r>
          </w:p>
        </w:tc>
      </w:tr>
      <w:tr w:rsidR="00087872" w14:paraId="50402D4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365C4EB" w14:textId="77777777" w:rsidR="00087872" w:rsidRDefault="00256B13">
            <w:pPr>
              <w:widowControl w:val="0"/>
              <w:spacing w:after="0" w:line="240" w:lineRule="auto"/>
              <w:jc w:val="center"/>
              <w:rPr>
                <w:sz w:val="20"/>
                <w:szCs w:val="20"/>
                <w:lang w:eastAsia="lv-LV"/>
              </w:rPr>
            </w:pPr>
            <w:r>
              <w:rPr>
                <w:sz w:val="20"/>
                <w:szCs w:val="20"/>
                <w:lang w:eastAsia="lv-LV"/>
              </w:rPr>
              <w:t>Celtniecības un ceļu būves mašīnu mehāniķis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240296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2818A45"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5EA24CE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36D6A4D"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793D5C6"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D7D09E9"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0F20896" w14:textId="77777777" w:rsidR="00087872" w:rsidRDefault="00256B13">
            <w:pPr>
              <w:widowControl w:val="0"/>
              <w:spacing w:after="0" w:line="240" w:lineRule="auto"/>
              <w:jc w:val="center"/>
              <w:rPr>
                <w:sz w:val="20"/>
                <w:szCs w:val="20"/>
              </w:rPr>
            </w:pPr>
            <w:r>
              <w:rPr>
                <w:sz w:val="20"/>
                <w:szCs w:val="20"/>
              </w:rPr>
              <w:t>-</w:t>
            </w:r>
          </w:p>
        </w:tc>
      </w:tr>
      <w:tr w:rsidR="00087872" w14:paraId="216E06D4"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915948C" w14:textId="77777777" w:rsidR="00087872" w:rsidRDefault="00256B13">
            <w:pPr>
              <w:widowControl w:val="0"/>
              <w:spacing w:after="0" w:line="240" w:lineRule="auto"/>
              <w:jc w:val="center"/>
              <w:rPr>
                <w:sz w:val="20"/>
                <w:szCs w:val="20"/>
                <w:lang w:eastAsia="lv-LV"/>
              </w:rPr>
            </w:pPr>
            <w:r>
              <w:rPr>
                <w:sz w:val="20"/>
                <w:szCs w:val="20"/>
                <w:lang w:eastAsia="lv-LV"/>
              </w:rPr>
              <w:t xml:space="preserve">Ceļu </w:t>
            </w:r>
            <w:proofErr w:type="spellStart"/>
            <w:r>
              <w:rPr>
                <w:sz w:val="20"/>
                <w:szCs w:val="20"/>
                <w:lang w:eastAsia="lv-LV"/>
              </w:rPr>
              <w:t>būvtehniķis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5BF08896" w14:textId="77777777" w:rsidR="00087872" w:rsidRDefault="00256B13">
            <w:pPr>
              <w:widowControl w:val="0"/>
              <w:spacing w:after="0" w:line="240" w:lineRule="auto"/>
              <w:jc w:val="center"/>
              <w:rPr>
                <w:sz w:val="20"/>
                <w:szCs w:val="20"/>
                <w:lang w:eastAsia="lv-LV"/>
              </w:rPr>
            </w:pPr>
            <w:r>
              <w:rPr>
                <w:sz w:val="20"/>
                <w:szCs w:val="20"/>
                <w:lang w:eastAsia="lv-LV"/>
              </w:rPr>
              <w:t>12</w:t>
            </w:r>
          </w:p>
        </w:tc>
        <w:tc>
          <w:tcPr>
            <w:tcW w:w="708" w:type="dxa"/>
            <w:tcBorders>
              <w:top w:val="single" w:sz="4" w:space="0" w:color="000000"/>
              <w:left w:val="single" w:sz="4" w:space="0" w:color="000000"/>
              <w:bottom w:val="single" w:sz="4" w:space="0" w:color="000000"/>
              <w:right w:val="single" w:sz="4" w:space="0" w:color="000000"/>
            </w:tcBorders>
            <w:vAlign w:val="center"/>
          </w:tcPr>
          <w:p w14:paraId="35B4D88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75E2A9E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39DB381"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3FC1D94"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A0775B5" w14:textId="77777777" w:rsidR="00087872" w:rsidRDefault="00256B13">
            <w:pPr>
              <w:widowControl w:val="0"/>
              <w:spacing w:after="0" w:line="240" w:lineRule="auto"/>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14:paraId="2B3B6A69" w14:textId="77777777" w:rsidR="00087872" w:rsidRDefault="00256B13">
            <w:pPr>
              <w:widowControl w:val="0"/>
              <w:spacing w:after="0" w:line="240" w:lineRule="auto"/>
              <w:jc w:val="center"/>
              <w:rPr>
                <w:sz w:val="20"/>
                <w:szCs w:val="20"/>
              </w:rPr>
            </w:pPr>
            <w:r>
              <w:rPr>
                <w:sz w:val="20"/>
                <w:szCs w:val="20"/>
              </w:rPr>
              <w:t>-</w:t>
            </w:r>
          </w:p>
        </w:tc>
      </w:tr>
      <w:tr w:rsidR="00087872" w14:paraId="6C53C1DA"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508ADD6" w14:textId="77777777" w:rsidR="00087872" w:rsidRDefault="00256B13">
            <w:pPr>
              <w:widowControl w:val="0"/>
              <w:spacing w:after="0" w:line="240" w:lineRule="auto"/>
              <w:jc w:val="center"/>
              <w:rPr>
                <w:sz w:val="20"/>
                <w:szCs w:val="20"/>
                <w:lang w:eastAsia="lv-LV"/>
              </w:rPr>
            </w:pPr>
            <w:r>
              <w:rPr>
                <w:sz w:val="20"/>
                <w:szCs w:val="20"/>
                <w:lang w:eastAsia="lv-LV"/>
              </w:rPr>
              <w:t>Datorizētās ciparu vadības (CNC) metālapstrādes darbgaldu iestatītājs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0901B4C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180D51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667B9FEE" w14:textId="77777777" w:rsidR="00087872" w:rsidRDefault="00256B13">
            <w:pPr>
              <w:widowControl w:val="0"/>
              <w:spacing w:after="0" w:line="240" w:lineRule="auto"/>
              <w:jc w:val="center"/>
              <w:rPr>
                <w:sz w:val="20"/>
                <w:szCs w:val="20"/>
                <w:lang w:eastAsia="lv-LV"/>
              </w:rPr>
            </w:pPr>
            <w:r>
              <w:rPr>
                <w:sz w:val="20"/>
                <w:szCs w:val="20"/>
                <w:lang w:eastAsia="lv-LV"/>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2FB35FBA"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F6C3C7D"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5939B0"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806EA34" w14:textId="77777777" w:rsidR="00087872" w:rsidRDefault="00256B13">
            <w:pPr>
              <w:widowControl w:val="0"/>
              <w:spacing w:after="0" w:line="240" w:lineRule="auto"/>
              <w:jc w:val="center"/>
              <w:rPr>
                <w:sz w:val="20"/>
                <w:szCs w:val="20"/>
              </w:rPr>
            </w:pPr>
            <w:r>
              <w:rPr>
                <w:sz w:val="20"/>
                <w:szCs w:val="20"/>
              </w:rPr>
              <w:t>-</w:t>
            </w:r>
          </w:p>
        </w:tc>
      </w:tr>
      <w:tr w:rsidR="00087872" w14:paraId="4C0DEA16"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440B6CA" w14:textId="77777777" w:rsidR="00087872" w:rsidRDefault="00256B13">
            <w:pPr>
              <w:widowControl w:val="0"/>
              <w:spacing w:after="0" w:line="240" w:lineRule="auto"/>
              <w:jc w:val="center"/>
              <w:rPr>
                <w:sz w:val="20"/>
                <w:szCs w:val="20"/>
                <w:lang w:eastAsia="lv-LV"/>
              </w:rPr>
            </w:pPr>
            <w:r>
              <w:rPr>
                <w:sz w:val="20"/>
                <w:szCs w:val="20"/>
                <w:lang w:eastAsia="lv-LV"/>
              </w:rPr>
              <w:t>Datorsistēmu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1B1411F" w14:textId="77777777" w:rsidR="00087872" w:rsidRDefault="00256B13">
            <w:pPr>
              <w:widowControl w:val="0"/>
              <w:spacing w:after="0" w:line="240" w:lineRule="auto"/>
              <w:jc w:val="center"/>
              <w:rPr>
                <w:sz w:val="20"/>
                <w:szCs w:val="20"/>
                <w:lang w:eastAsia="lv-LV"/>
              </w:rPr>
            </w:pPr>
            <w:r>
              <w:rPr>
                <w:sz w:val="20"/>
                <w:szCs w:val="20"/>
                <w:lang w:eastAsia="lv-LV"/>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281BFEA8"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12" w:type="dxa"/>
            <w:tcBorders>
              <w:top w:val="single" w:sz="4" w:space="0" w:color="000000"/>
              <w:left w:val="single" w:sz="4" w:space="0" w:color="000000"/>
              <w:bottom w:val="single" w:sz="4" w:space="0" w:color="000000"/>
              <w:right w:val="single" w:sz="4" w:space="0" w:color="000000"/>
            </w:tcBorders>
            <w:vAlign w:val="center"/>
          </w:tcPr>
          <w:p w14:paraId="550535F1"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43F34042" w14:textId="77777777" w:rsidR="00087872" w:rsidRDefault="00087872">
            <w:pPr>
              <w:widowControl w:val="0"/>
              <w:rPr>
                <w:sz w:val="20"/>
                <w:szCs w:val="20"/>
                <w:lang w:eastAsia="lv-LV"/>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5F4F86B" w14:textId="77777777" w:rsidR="00087872" w:rsidRDefault="00256B13">
            <w:pPr>
              <w:widowControl w:val="0"/>
              <w:spacing w:after="0" w:line="240" w:lineRule="auto"/>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01EB15EA" w14:textId="77777777" w:rsidR="00087872" w:rsidRDefault="00256B13">
            <w:pPr>
              <w:widowControl w:val="0"/>
              <w:spacing w:after="0" w:line="240" w:lineRule="auto"/>
              <w:jc w:val="center"/>
              <w:rPr>
                <w:sz w:val="20"/>
                <w:szCs w:val="20"/>
              </w:rPr>
            </w:pPr>
            <w:r>
              <w:rPr>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32B45AD8" w14:textId="77777777" w:rsidR="00087872" w:rsidRDefault="00256B13">
            <w:pPr>
              <w:widowControl w:val="0"/>
              <w:spacing w:after="0" w:line="240" w:lineRule="auto"/>
              <w:jc w:val="center"/>
              <w:rPr>
                <w:sz w:val="20"/>
                <w:szCs w:val="20"/>
              </w:rPr>
            </w:pPr>
            <w:r>
              <w:rPr>
                <w:sz w:val="20"/>
                <w:szCs w:val="20"/>
              </w:rPr>
              <w:t>6</w:t>
            </w:r>
          </w:p>
        </w:tc>
      </w:tr>
      <w:tr w:rsidR="00087872" w14:paraId="4381D3C2"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CDA21C3" w14:textId="77777777" w:rsidR="00087872" w:rsidRDefault="00256B13">
            <w:pPr>
              <w:widowControl w:val="0"/>
              <w:spacing w:after="0" w:line="240" w:lineRule="auto"/>
              <w:jc w:val="center"/>
              <w:rPr>
                <w:sz w:val="20"/>
                <w:szCs w:val="20"/>
                <w:lang w:eastAsia="lv-LV"/>
              </w:rPr>
            </w:pPr>
            <w:r>
              <w:rPr>
                <w:sz w:val="20"/>
                <w:szCs w:val="20"/>
                <w:lang w:eastAsia="lv-LV"/>
              </w:rPr>
              <w:t>Dārzkopis (2)</w:t>
            </w:r>
          </w:p>
        </w:tc>
        <w:tc>
          <w:tcPr>
            <w:tcW w:w="568" w:type="dxa"/>
            <w:tcBorders>
              <w:top w:val="single" w:sz="4" w:space="0" w:color="000000"/>
              <w:left w:val="single" w:sz="4" w:space="0" w:color="000000"/>
              <w:bottom w:val="single" w:sz="4" w:space="0" w:color="000000"/>
              <w:right w:val="single" w:sz="4" w:space="0" w:color="000000"/>
            </w:tcBorders>
            <w:vAlign w:val="center"/>
          </w:tcPr>
          <w:p w14:paraId="674E128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2992F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AF80A5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8B161B4"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77FE15C5"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9962F88"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1AA761B" w14:textId="77777777" w:rsidR="00087872" w:rsidRDefault="00256B13">
            <w:pPr>
              <w:widowControl w:val="0"/>
              <w:spacing w:after="0" w:line="240" w:lineRule="auto"/>
              <w:jc w:val="center"/>
              <w:rPr>
                <w:sz w:val="20"/>
                <w:szCs w:val="20"/>
              </w:rPr>
            </w:pPr>
            <w:r>
              <w:rPr>
                <w:sz w:val="20"/>
                <w:szCs w:val="20"/>
              </w:rPr>
              <w:t>2</w:t>
            </w:r>
          </w:p>
        </w:tc>
      </w:tr>
      <w:tr w:rsidR="00087872" w14:paraId="314669DA"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6A58D2B" w14:textId="77777777" w:rsidR="00087872" w:rsidRDefault="00256B13">
            <w:pPr>
              <w:widowControl w:val="0"/>
              <w:spacing w:after="0" w:line="240" w:lineRule="auto"/>
              <w:jc w:val="center"/>
              <w:rPr>
                <w:sz w:val="20"/>
                <w:szCs w:val="20"/>
                <w:lang w:eastAsia="lv-LV"/>
              </w:rPr>
            </w:pPr>
            <w:r>
              <w:rPr>
                <w:sz w:val="20"/>
                <w:szCs w:val="20"/>
                <w:lang w:eastAsia="lv-LV"/>
              </w:rPr>
              <w:t>Dziedātājs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825A6B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7791970"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BD1B3A1"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6E50E71"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C67CE8E"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56BFEB1"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B16B5B9" w14:textId="77777777" w:rsidR="00087872" w:rsidRDefault="00256B13">
            <w:pPr>
              <w:widowControl w:val="0"/>
              <w:spacing w:after="0" w:line="240" w:lineRule="auto"/>
              <w:jc w:val="center"/>
              <w:rPr>
                <w:sz w:val="20"/>
                <w:szCs w:val="20"/>
              </w:rPr>
            </w:pPr>
            <w:r>
              <w:rPr>
                <w:sz w:val="20"/>
                <w:szCs w:val="20"/>
              </w:rPr>
              <w:t>-</w:t>
            </w:r>
          </w:p>
        </w:tc>
      </w:tr>
      <w:tr w:rsidR="00087872" w14:paraId="3A9D38C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5579C8B" w14:textId="77777777" w:rsidR="00087872" w:rsidRDefault="00256B13">
            <w:pPr>
              <w:widowControl w:val="0"/>
              <w:spacing w:after="0" w:line="240" w:lineRule="auto"/>
              <w:jc w:val="center"/>
              <w:rPr>
                <w:sz w:val="20"/>
                <w:szCs w:val="20"/>
                <w:lang w:eastAsia="lv-LV"/>
              </w:rPr>
            </w:pPr>
            <w:r>
              <w:rPr>
                <w:sz w:val="20"/>
                <w:szCs w:val="20"/>
                <w:lang w:eastAsia="lv-LV"/>
              </w:rPr>
              <w:t xml:space="preserve">Dziedātājs, ansambļa </w:t>
            </w:r>
            <w:r>
              <w:rPr>
                <w:sz w:val="20"/>
                <w:szCs w:val="20"/>
                <w:lang w:eastAsia="lv-LV"/>
              </w:rPr>
              <w:t>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D1D843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0663EC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D82F10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3652469"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A329095"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0E1860F" w14:textId="77777777" w:rsidR="00087872" w:rsidRDefault="00256B13">
            <w:pPr>
              <w:widowControl w:val="0"/>
              <w:spacing w:after="0" w:line="240" w:lineRule="auto"/>
              <w:jc w:val="center"/>
              <w:rPr>
                <w:sz w:val="20"/>
                <w:szCs w:val="20"/>
              </w:rPr>
            </w:pPr>
            <w:r>
              <w:rPr>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46E0D6CC" w14:textId="77777777" w:rsidR="00087872" w:rsidRDefault="00256B13">
            <w:pPr>
              <w:widowControl w:val="0"/>
              <w:spacing w:after="0" w:line="240" w:lineRule="auto"/>
              <w:jc w:val="center"/>
              <w:rPr>
                <w:sz w:val="20"/>
                <w:szCs w:val="20"/>
              </w:rPr>
            </w:pPr>
            <w:r>
              <w:rPr>
                <w:sz w:val="20"/>
                <w:szCs w:val="20"/>
              </w:rPr>
              <w:t>-</w:t>
            </w:r>
          </w:p>
        </w:tc>
      </w:tr>
      <w:tr w:rsidR="00087872" w14:paraId="38753E76"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C984758" w14:textId="77777777" w:rsidR="00087872" w:rsidRDefault="00256B13">
            <w:pPr>
              <w:widowControl w:val="0"/>
              <w:spacing w:after="0" w:line="240" w:lineRule="auto"/>
              <w:jc w:val="center"/>
              <w:rPr>
                <w:sz w:val="20"/>
                <w:szCs w:val="20"/>
                <w:lang w:eastAsia="lv-LV"/>
              </w:rPr>
            </w:pPr>
            <w:r>
              <w:rPr>
                <w:sz w:val="20"/>
                <w:szCs w:val="20"/>
                <w:lang w:eastAsia="lv-LV"/>
              </w:rPr>
              <w:t>Dzelzceļa transporta automātikas, telemehānikas un komunikāciju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8F5CA0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853ED7E" w14:textId="77777777" w:rsidR="00087872" w:rsidRDefault="00256B13">
            <w:pPr>
              <w:widowControl w:val="0"/>
              <w:spacing w:after="0" w:line="240" w:lineRule="auto"/>
              <w:jc w:val="center"/>
              <w:rPr>
                <w:sz w:val="20"/>
                <w:szCs w:val="20"/>
                <w:lang w:eastAsia="lv-LV"/>
              </w:rPr>
            </w:pPr>
            <w:r>
              <w:rPr>
                <w:sz w:val="20"/>
                <w:szCs w:val="20"/>
                <w:lang w:eastAsia="lv-LV"/>
              </w:rPr>
              <w:t>3</w:t>
            </w:r>
          </w:p>
        </w:tc>
        <w:tc>
          <w:tcPr>
            <w:tcW w:w="712" w:type="dxa"/>
            <w:tcBorders>
              <w:top w:val="single" w:sz="4" w:space="0" w:color="000000"/>
              <w:left w:val="single" w:sz="4" w:space="0" w:color="000000"/>
              <w:bottom w:val="single" w:sz="4" w:space="0" w:color="000000"/>
              <w:right w:val="single" w:sz="4" w:space="0" w:color="000000"/>
            </w:tcBorders>
            <w:vAlign w:val="center"/>
          </w:tcPr>
          <w:p w14:paraId="56CAE62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0EBFE72" w14:textId="77777777" w:rsidR="00087872" w:rsidRDefault="00256B13">
            <w:pPr>
              <w:widowControl w:val="0"/>
              <w:spacing w:after="0" w:line="240" w:lineRule="auto"/>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right w:val="single" w:sz="4" w:space="0" w:color="000000"/>
            </w:tcBorders>
            <w:vAlign w:val="center"/>
          </w:tcPr>
          <w:p w14:paraId="388D2F8F"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B665A1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09BEA38" w14:textId="77777777" w:rsidR="00087872" w:rsidRDefault="00256B13">
            <w:pPr>
              <w:widowControl w:val="0"/>
              <w:spacing w:after="0" w:line="240" w:lineRule="auto"/>
              <w:jc w:val="center"/>
              <w:rPr>
                <w:sz w:val="20"/>
                <w:szCs w:val="20"/>
              </w:rPr>
            </w:pPr>
            <w:r>
              <w:rPr>
                <w:sz w:val="20"/>
                <w:szCs w:val="20"/>
              </w:rPr>
              <w:t>-</w:t>
            </w:r>
          </w:p>
        </w:tc>
      </w:tr>
      <w:tr w:rsidR="00087872" w14:paraId="010034B2"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4E9FFB9" w14:textId="77777777" w:rsidR="00087872" w:rsidRDefault="00256B13">
            <w:pPr>
              <w:widowControl w:val="0"/>
              <w:spacing w:after="0" w:line="240" w:lineRule="auto"/>
              <w:jc w:val="center"/>
              <w:rPr>
                <w:sz w:val="20"/>
                <w:szCs w:val="20"/>
                <w:lang w:eastAsia="lv-LV"/>
              </w:rPr>
            </w:pPr>
            <w:r>
              <w:rPr>
                <w:sz w:val="20"/>
                <w:szCs w:val="20"/>
                <w:lang w:eastAsia="lv-LV"/>
              </w:rPr>
              <w:t>Dzelzceļa transporta pārvadājumu organizācijas un kustības drošības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004214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97DFFD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1CD449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ACCE1AB"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0FA3949"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A746909"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EEE24A2" w14:textId="77777777" w:rsidR="00087872" w:rsidRDefault="00256B13">
            <w:pPr>
              <w:widowControl w:val="0"/>
              <w:spacing w:after="0" w:line="240" w:lineRule="auto"/>
              <w:jc w:val="center"/>
              <w:rPr>
                <w:sz w:val="20"/>
                <w:szCs w:val="20"/>
              </w:rPr>
            </w:pPr>
            <w:r>
              <w:rPr>
                <w:sz w:val="20"/>
                <w:szCs w:val="20"/>
              </w:rPr>
              <w:t>-</w:t>
            </w:r>
          </w:p>
        </w:tc>
      </w:tr>
      <w:tr w:rsidR="00087872" w14:paraId="016C7F0C"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FF23BF8" w14:textId="77777777" w:rsidR="00087872" w:rsidRDefault="00256B13">
            <w:pPr>
              <w:widowControl w:val="0"/>
              <w:spacing w:after="0" w:line="240" w:lineRule="auto"/>
              <w:jc w:val="center"/>
              <w:rPr>
                <w:sz w:val="20"/>
                <w:szCs w:val="20"/>
                <w:lang w:eastAsia="lv-LV"/>
              </w:rPr>
            </w:pPr>
            <w:r>
              <w:rPr>
                <w:sz w:val="20"/>
                <w:szCs w:val="20"/>
                <w:lang w:eastAsia="lv-LV"/>
              </w:rPr>
              <w:t>Elektriķis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0AF398DA" w14:textId="77777777" w:rsidR="00087872" w:rsidRDefault="00256B13">
            <w:pPr>
              <w:widowControl w:val="0"/>
              <w:spacing w:after="0" w:line="240" w:lineRule="auto"/>
              <w:jc w:val="center"/>
              <w:rPr>
                <w:sz w:val="20"/>
                <w:szCs w:val="20"/>
                <w:lang w:eastAsia="lv-LV"/>
              </w:rPr>
            </w:pPr>
            <w:r>
              <w:rPr>
                <w:sz w:val="20"/>
                <w:szCs w:val="20"/>
                <w:lang w:eastAsia="lv-LV"/>
              </w:rPr>
              <w:t>22</w:t>
            </w:r>
          </w:p>
        </w:tc>
        <w:tc>
          <w:tcPr>
            <w:tcW w:w="708" w:type="dxa"/>
            <w:tcBorders>
              <w:top w:val="single" w:sz="4" w:space="0" w:color="000000"/>
              <w:left w:val="single" w:sz="4" w:space="0" w:color="000000"/>
              <w:bottom w:val="single" w:sz="4" w:space="0" w:color="000000"/>
              <w:right w:val="single" w:sz="4" w:space="0" w:color="000000"/>
            </w:tcBorders>
            <w:vAlign w:val="center"/>
          </w:tcPr>
          <w:p w14:paraId="3E3B96AC" w14:textId="77777777" w:rsidR="00087872" w:rsidRDefault="00256B13">
            <w:pPr>
              <w:widowControl w:val="0"/>
              <w:spacing w:after="0" w:line="240" w:lineRule="auto"/>
              <w:jc w:val="center"/>
              <w:rPr>
                <w:sz w:val="20"/>
                <w:szCs w:val="20"/>
                <w:lang w:eastAsia="lv-LV"/>
              </w:rPr>
            </w:pPr>
            <w:r>
              <w:rPr>
                <w:sz w:val="20"/>
                <w:szCs w:val="20"/>
                <w:lang w:eastAsia="lv-LV"/>
              </w:rPr>
              <w:t>7</w:t>
            </w:r>
          </w:p>
        </w:tc>
        <w:tc>
          <w:tcPr>
            <w:tcW w:w="712" w:type="dxa"/>
            <w:tcBorders>
              <w:top w:val="single" w:sz="4" w:space="0" w:color="000000"/>
              <w:left w:val="single" w:sz="4" w:space="0" w:color="000000"/>
              <w:bottom w:val="single" w:sz="4" w:space="0" w:color="000000"/>
              <w:right w:val="single" w:sz="4" w:space="0" w:color="000000"/>
            </w:tcBorders>
            <w:vAlign w:val="center"/>
          </w:tcPr>
          <w:p w14:paraId="0F10162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72ED5EB"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AD18CF5"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419851F"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214C23D" w14:textId="77777777" w:rsidR="00087872" w:rsidRDefault="00256B13">
            <w:pPr>
              <w:widowControl w:val="0"/>
              <w:spacing w:after="0" w:line="240" w:lineRule="auto"/>
              <w:jc w:val="center"/>
              <w:rPr>
                <w:sz w:val="20"/>
                <w:szCs w:val="20"/>
              </w:rPr>
            </w:pPr>
            <w:r>
              <w:rPr>
                <w:sz w:val="20"/>
                <w:szCs w:val="20"/>
              </w:rPr>
              <w:t>-</w:t>
            </w:r>
          </w:p>
        </w:tc>
      </w:tr>
      <w:tr w:rsidR="00087872" w14:paraId="2973B8F2"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A529D84" w14:textId="77777777" w:rsidR="00087872" w:rsidRDefault="00256B13">
            <w:pPr>
              <w:widowControl w:val="0"/>
              <w:spacing w:after="0" w:line="240" w:lineRule="auto"/>
              <w:jc w:val="center"/>
              <w:rPr>
                <w:sz w:val="20"/>
                <w:szCs w:val="20"/>
                <w:lang w:eastAsia="lv-LV"/>
              </w:rPr>
            </w:pPr>
            <w:r>
              <w:rPr>
                <w:sz w:val="20"/>
                <w:szCs w:val="20"/>
                <w:lang w:eastAsia="lv-LV"/>
              </w:rPr>
              <w:t>Elektromontieris (2)</w:t>
            </w:r>
          </w:p>
        </w:tc>
        <w:tc>
          <w:tcPr>
            <w:tcW w:w="568" w:type="dxa"/>
            <w:tcBorders>
              <w:top w:val="single" w:sz="4" w:space="0" w:color="000000"/>
              <w:left w:val="single" w:sz="4" w:space="0" w:color="000000"/>
              <w:bottom w:val="single" w:sz="4" w:space="0" w:color="000000"/>
              <w:right w:val="single" w:sz="4" w:space="0" w:color="000000"/>
            </w:tcBorders>
            <w:vAlign w:val="center"/>
          </w:tcPr>
          <w:p w14:paraId="0E71A69A" w14:textId="77777777" w:rsidR="00087872" w:rsidRDefault="00256B13">
            <w:pPr>
              <w:widowControl w:val="0"/>
              <w:spacing w:after="0" w:line="240" w:lineRule="auto"/>
              <w:jc w:val="center"/>
              <w:rPr>
                <w:sz w:val="20"/>
                <w:szCs w:val="20"/>
                <w:lang w:eastAsia="lv-LV"/>
              </w:rPr>
            </w:pPr>
            <w:r>
              <w:rPr>
                <w:sz w:val="20"/>
                <w:szCs w:val="20"/>
                <w:lang w:eastAsia="lv-LV"/>
              </w:rPr>
              <w:t>39</w:t>
            </w:r>
          </w:p>
        </w:tc>
        <w:tc>
          <w:tcPr>
            <w:tcW w:w="708" w:type="dxa"/>
            <w:tcBorders>
              <w:top w:val="single" w:sz="4" w:space="0" w:color="000000"/>
              <w:left w:val="single" w:sz="4" w:space="0" w:color="000000"/>
              <w:bottom w:val="single" w:sz="4" w:space="0" w:color="000000"/>
              <w:right w:val="single" w:sz="4" w:space="0" w:color="000000"/>
            </w:tcBorders>
            <w:vAlign w:val="center"/>
          </w:tcPr>
          <w:p w14:paraId="39111220" w14:textId="77777777" w:rsidR="00087872" w:rsidRDefault="00256B13">
            <w:pPr>
              <w:widowControl w:val="0"/>
              <w:spacing w:after="0" w:line="240" w:lineRule="auto"/>
              <w:jc w:val="center"/>
              <w:rPr>
                <w:sz w:val="20"/>
                <w:szCs w:val="20"/>
                <w:lang w:eastAsia="lv-LV"/>
              </w:rPr>
            </w:pPr>
            <w:r>
              <w:rPr>
                <w:sz w:val="20"/>
                <w:szCs w:val="20"/>
                <w:lang w:eastAsia="lv-LV"/>
              </w:rPr>
              <w:t>28</w:t>
            </w:r>
          </w:p>
        </w:tc>
        <w:tc>
          <w:tcPr>
            <w:tcW w:w="712" w:type="dxa"/>
            <w:tcBorders>
              <w:top w:val="single" w:sz="4" w:space="0" w:color="000000"/>
              <w:left w:val="single" w:sz="4" w:space="0" w:color="000000"/>
              <w:bottom w:val="single" w:sz="4" w:space="0" w:color="000000"/>
              <w:right w:val="single" w:sz="4" w:space="0" w:color="000000"/>
            </w:tcBorders>
            <w:vAlign w:val="center"/>
          </w:tcPr>
          <w:p w14:paraId="5EF1279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88E77B" w14:textId="77777777" w:rsidR="00087872" w:rsidRDefault="00256B13">
            <w:pPr>
              <w:widowControl w:val="0"/>
              <w:spacing w:after="0" w:line="240" w:lineRule="auto"/>
              <w:jc w:val="center"/>
              <w:rPr>
                <w:sz w:val="20"/>
                <w:szCs w:val="20"/>
              </w:rPr>
            </w:pPr>
            <w:r>
              <w:rPr>
                <w:sz w:val="20"/>
                <w:szCs w:val="20"/>
              </w:rPr>
              <w:t>6</w:t>
            </w:r>
          </w:p>
        </w:tc>
        <w:tc>
          <w:tcPr>
            <w:tcW w:w="707" w:type="dxa"/>
            <w:tcBorders>
              <w:top w:val="single" w:sz="4" w:space="0" w:color="000000"/>
              <w:left w:val="single" w:sz="4" w:space="0" w:color="000000"/>
              <w:bottom w:val="single" w:sz="4" w:space="0" w:color="000000"/>
              <w:right w:val="single" w:sz="4" w:space="0" w:color="000000"/>
            </w:tcBorders>
            <w:vAlign w:val="center"/>
          </w:tcPr>
          <w:p w14:paraId="73253DC9" w14:textId="77777777" w:rsidR="00087872" w:rsidRDefault="00256B13">
            <w:pPr>
              <w:widowControl w:val="0"/>
              <w:spacing w:after="0" w:line="240" w:lineRule="auto"/>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76C03BA2" w14:textId="77777777" w:rsidR="00087872" w:rsidRDefault="00256B13">
            <w:pPr>
              <w:widowControl w:val="0"/>
              <w:spacing w:after="0" w:line="240" w:lineRule="auto"/>
              <w:jc w:val="center"/>
              <w:rPr>
                <w:sz w:val="20"/>
                <w:szCs w:val="20"/>
              </w:rPr>
            </w:pPr>
            <w:r>
              <w:rPr>
                <w:sz w:val="20"/>
                <w:szCs w:val="20"/>
              </w:rPr>
              <w:t>8</w:t>
            </w:r>
          </w:p>
        </w:tc>
        <w:tc>
          <w:tcPr>
            <w:tcW w:w="1133" w:type="dxa"/>
            <w:tcBorders>
              <w:top w:val="single" w:sz="4" w:space="0" w:color="000000"/>
              <w:left w:val="single" w:sz="4" w:space="0" w:color="000000"/>
              <w:bottom w:val="single" w:sz="4" w:space="0" w:color="000000"/>
              <w:right w:val="single" w:sz="4" w:space="0" w:color="000000"/>
            </w:tcBorders>
            <w:vAlign w:val="center"/>
          </w:tcPr>
          <w:p w14:paraId="47BC9A2E" w14:textId="77777777" w:rsidR="00087872" w:rsidRDefault="00256B13">
            <w:pPr>
              <w:widowControl w:val="0"/>
              <w:spacing w:after="0" w:line="240" w:lineRule="auto"/>
              <w:jc w:val="center"/>
              <w:rPr>
                <w:sz w:val="20"/>
                <w:szCs w:val="20"/>
              </w:rPr>
            </w:pPr>
            <w:r>
              <w:rPr>
                <w:sz w:val="20"/>
                <w:szCs w:val="20"/>
              </w:rPr>
              <w:t>31</w:t>
            </w:r>
          </w:p>
        </w:tc>
      </w:tr>
      <w:tr w:rsidR="00087872" w14:paraId="3800572D"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578AD469" w14:textId="77777777" w:rsidR="00087872" w:rsidRDefault="00256B13">
            <w:pPr>
              <w:widowControl w:val="0"/>
              <w:spacing w:after="0" w:line="240" w:lineRule="auto"/>
              <w:jc w:val="center"/>
              <w:rPr>
                <w:sz w:val="20"/>
                <w:szCs w:val="20"/>
                <w:lang w:eastAsia="lv-LV"/>
              </w:rPr>
            </w:pPr>
            <w:r>
              <w:rPr>
                <w:sz w:val="20"/>
                <w:szCs w:val="20"/>
                <w:lang w:eastAsia="lv-LV"/>
              </w:rPr>
              <w:t>Elektrotehniķis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04039857" w14:textId="77777777" w:rsidR="00087872" w:rsidRDefault="00256B13">
            <w:pPr>
              <w:widowControl w:val="0"/>
              <w:spacing w:after="0" w:line="240" w:lineRule="auto"/>
              <w:jc w:val="center"/>
              <w:rPr>
                <w:sz w:val="20"/>
                <w:szCs w:val="20"/>
                <w:lang w:eastAsia="lv-LV"/>
              </w:rPr>
            </w:pPr>
            <w:r>
              <w:rPr>
                <w:sz w:val="20"/>
                <w:szCs w:val="20"/>
                <w:lang w:eastAsia="lv-LV"/>
              </w:rPr>
              <w:t>64</w:t>
            </w:r>
          </w:p>
        </w:tc>
        <w:tc>
          <w:tcPr>
            <w:tcW w:w="708" w:type="dxa"/>
            <w:tcBorders>
              <w:top w:val="single" w:sz="4" w:space="0" w:color="000000"/>
              <w:left w:val="single" w:sz="4" w:space="0" w:color="000000"/>
              <w:bottom w:val="single" w:sz="4" w:space="0" w:color="000000"/>
              <w:right w:val="single" w:sz="4" w:space="0" w:color="000000"/>
            </w:tcBorders>
            <w:vAlign w:val="center"/>
          </w:tcPr>
          <w:p w14:paraId="18F7ED11" w14:textId="77777777" w:rsidR="00087872" w:rsidRDefault="00256B13">
            <w:pPr>
              <w:widowControl w:val="0"/>
              <w:spacing w:after="0" w:line="240" w:lineRule="auto"/>
              <w:jc w:val="center"/>
              <w:rPr>
                <w:sz w:val="20"/>
                <w:szCs w:val="20"/>
                <w:lang w:eastAsia="lv-LV"/>
              </w:rPr>
            </w:pPr>
            <w:r>
              <w:rPr>
                <w:sz w:val="20"/>
                <w:szCs w:val="20"/>
                <w:lang w:eastAsia="lv-LV"/>
              </w:rPr>
              <w:t>101</w:t>
            </w:r>
          </w:p>
        </w:tc>
        <w:tc>
          <w:tcPr>
            <w:tcW w:w="712" w:type="dxa"/>
            <w:tcBorders>
              <w:top w:val="single" w:sz="4" w:space="0" w:color="000000"/>
              <w:left w:val="single" w:sz="4" w:space="0" w:color="000000"/>
              <w:bottom w:val="single" w:sz="4" w:space="0" w:color="000000"/>
              <w:right w:val="single" w:sz="4" w:space="0" w:color="000000"/>
            </w:tcBorders>
            <w:vAlign w:val="center"/>
          </w:tcPr>
          <w:p w14:paraId="7A4E6623" w14:textId="77777777" w:rsidR="00087872" w:rsidRDefault="00256B13">
            <w:pPr>
              <w:widowControl w:val="0"/>
              <w:spacing w:after="0" w:line="240" w:lineRule="auto"/>
              <w:jc w:val="center"/>
              <w:rPr>
                <w:sz w:val="20"/>
                <w:szCs w:val="20"/>
                <w:lang w:eastAsia="lv-LV"/>
              </w:rPr>
            </w:pPr>
            <w:r>
              <w:rPr>
                <w:sz w:val="20"/>
                <w:szCs w:val="20"/>
                <w:lang w:eastAsia="lv-LV"/>
              </w:rPr>
              <w:t>73</w:t>
            </w:r>
          </w:p>
        </w:tc>
        <w:tc>
          <w:tcPr>
            <w:tcW w:w="708" w:type="dxa"/>
            <w:tcBorders>
              <w:top w:val="single" w:sz="4" w:space="0" w:color="000000"/>
              <w:left w:val="single" w:sz="4" w:space="0" w:color="000000"/>
              <w:bottom w:val="single" w:sz="4" w:space="0" w:color="000000"/>
              <w:right w:val="single" w:sz="4" w:space="0" w:color="000000"/>
            </w:tcBorders>
            <w:vAlign w:val="center"/>
          </w:tcPr>
          <w:p w14:paraId="2CB13910" w14:textId="77777777" w:rsidR="00087872" w:rsidRDefault="00256B13">
            <w:pPr>
              <w:widowControl w:val="0"/>
              <w:spacing w:after="0" w:line="240" w:lineRule="auto"/>
              <w:jc w:val="center"/>
              <w:rPr>
                <w:sz w:val="20"/>
                <w:szCs w:val="20"/>
              </w:rPr>
            </w:pPr>
            <w:r>
              <w:rPr>
                <w:sz w:val="20"/>
                <w:szCs w:val="20"/>
              </w:rPr>
              <w:t>26</w:t>
            </w:r>
          </w:p>
        </w:tc>
        <w:tc>
          <w:tcPr>
            <w:tcW w:w="707" w:type="dxa"/>
            <w:tcBorders>
              <w:top w:val="single" w:sz="4" w:space="0" w:color="000000"/>
              <w:left w:val="single" w:sz="4" w:space="0" w:color="000000"/>
              <w:bottom w:val="single" w:sz="4" w:space="0" w:color="000000"/>
              <w:right w:val="single" w:sz="4" w:space="0" w:color="000000"/>
            </w:tcBorders>
            <w:vAlign w:val="center"/>
          </w:tcPr>
          <w:p w14:paraId="25E6E777" w14:textId="77777777" w:rsidR="00087872" w:rsidRDefault="00256B13">
            <w:pPr>
              <w:widowControl w:val="0"/>
              <w:spacing w:after="0" w:line="240" w:lineRule="auto"/>
              <w:jc w:val="center"/>
              <w:rPr>
                <w:sz w:val="20"/>
                <w:szCs w:val="20"/>
              </w:rPr>
            </w:pPr>
            <w:r>
              <w:rPr>
                <w:sz w:val="20"/>
                <w:szCs w:val="20"/>
              </w:rPr>
              <w:t>19</w:t>
            </w:r>
          </w:p>
        </w:tc>
        <w:tc>
          <w:tcPr>
            <w:tcW w:w="851" w:type="dxa"/>
            <w:tcBorders>
              <w:top w:val="single" w:sz="4" w:space="0" w:color="000000"/>
              <w:left w:val="single" w:sz="4" w:space="0" w:color="000000"/>
              <w:bottom w:val="single" w:sz="4" w:space="0" w:color="000000"/>
              <w:right w:val="single" w:sz="4" w:space="0" w:color="000000"/>
            </w:tcBorders>
            <w:vAlign w:val="center"/>
          </w:tcPr>
          <w:p w14:paraId="264A931A" w14:textId="77777777" w:rsidR="00087872" w:rsidRDefault="00256B13">
            <w:pPr>
              <w:widowControl w:val="0"/>
              <w:spacing w:after="0" w:line="240" w:lineRule="auto"/>
              <w:jc w:val="center"/>
              <w:rPr>
                <w:sz w:val="20"/>
                <w:szCs w:val="20"/>
              </w:rPr>
            </w:pPr>
            <w:r>
              <w:rPr>
                <w:sz w:val="20"/>
                <w:szCs w:val="20"/>
              </w:rPr>
              <w:t>15</w:t>
            </w:r>
          </w:p>
        </w:tc>
        <w:tc>
          <w:tcPr>
            <w:tcW w:w="1133" w:type="dxa"/>
            <w:tcBorders>
              <w:top w:val="single" w:sz="4" w:space="0" w:color="000000"/>
              <w:left w:val="single" w:sz="4" w:space="0" w:color="000000"/>
              <w:bottom w:val="single" w:sz="4" w:space="0" w:color="000000"/>
              <w:right w:val="single" w:sz="4" w:space="0" w:color="000000"/>
            </w:tcBorders>
            <w:vAlign w:val="center"/>
          </w:tcPr>
          <w:p w14:paraId="15FA223E" w14:textId="77777777" w:rsidR="00087872" w:rsidRDefault="00256B13">
            <w:pPr>
              <w:widowControl w:val="0"/>
              <w:spacing w:after="0" w:line="240" w:lineRule="auto"/>
              <w:jc w:val="center"/>
              <w:rPr>
                <w:sz w:val="20"/>
                <w:szCs w:val="20"/>
              </w:rPr>
            </w:pPr>
            <w:r>
              <w:rPr>
                <w:sz w:val="20"/>
                <w:szCs w:val="20"/>
              </w:rPr>
              <w:t>57</w:t>
            </w:r>
          </w:p>
        </w:tc>
      </w:tr>
      <w:tr w:rsidR="00087872" w14:paraId="0D35B422"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01D2B19" w14:textId="77777777" w:rsidR="00087872" w:rsidRDefault="00256B13">
            <w:pPr>
              <w:widowControl w:val="0"/>
              <w:spacing w:after="0" w:line="240" w:lineRule="auto"/>
              <w:jc w:val="center"/>
              <w:rPr>
                <w:sz w:val="20"/>
                <w:szCs w:val="20"/>
                <w:lang w:eastAsia="lv-LV"/>
              </w:rPr>
            </w:pPr>
            <w:r>
              <w:rPr>
                <w:sz w:val="20"/>
                <w:szCs w:val="20"/>
                <w:lang w:eastAsia="lv-LV"/>
              </w:rPr>
              <w:t>Elektronikas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A0B181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6A78160"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12" w:type="dxa"/>
            <w:tcBorders>
              <w:top w:val="single" w:sz="4" w:space="0" w:color="000000"/>
              <w:left w:val="single" w:sz="4" w:space="0" w:color="000000"/>
              <w:bottom w:val="single" w:sz="4" w:space="0" w:color="000000"/>
              <w:right w:val="single" w:sz="4" w:space="0" w:color="000000"/>
            </w:tcBorders>
            <w:vAlign w:val="center"/>
          </w:tcPr>
          <w:p w14:paraId="331AF41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C135413"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7C8D3371"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FFB6E63"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BC69B03" w14:textId="77777777" w:rsidR="00087872" w:rsidRDefault="00256B13">
            <w:pPr>
              <w:widowControl w:val="0"/>
              <w:spacing w:after="0" w:line="240" w:lineRule="auto"/>
              <w:jc w:val="center"/>
              <w:rPr>
                <w:sz w:val="20"/>
                <w:szCs w:val="20"/>
              </w:rPr>
            </w:pPr>
            <w:r>
              <w:rPr>
                <w:sz w:val="20"/>
                <w:szCs w:val="20"/>
              </w:rPr>
              <w:t>-</w:t>
            </w:r>
          </w:p>
        </w:tc>
      </w:tr>
      <w:tr w:rsidR="00087872" w14:paraId="08A7910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04C4182" w14:textId="77777777" w:rsidR="00087872" w:rsidRDefault="00256B13">
            <w:pPr>
              <w:widowControl w:val="0"/>
              <w:spacing w:after="0" w:line="240" w:lineRule="auto"/>
              <w:jc w:val="center"/>
              <w:rPr>
                <w:sz w:val="20"/>
                <w:szCs w:val="20"/>
                <w:lang w:eastAsia="lv-LV"/>
              </w:rPr>
            </w:pPr>
            <w:r>
              <w:rPr>
                <w:sz w:val="20"/>
                <w:szCs w:val="20"/>
                <w:lang w:eastAsia="lv-LV"/>
              </w:rPr>
              <w:t>Ēdināšanas pakalpojumu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87A0B2A" w14:textId="77777777" w:rsidR="00087872" w:rsidRDefault="00256B13">
            <w:pPr>
              <w:widowControl w:val="0"/>
              <w:spacing w:after="0" w:line="240" w:lineRule="auto"/>
              <w:jc w:val="center"/>
              <w:rPr>
                <w:sz w:val="20"/>
                <w:szCs w:val="20"/>
                <w:lang w:eastAsia="lv-LV"/>
              </w:rPr>
            </w:pPr>
            <w:r>
              <w:rPr>
                <w:sz w:val="20"/>
                <w:szCs w:val="20"/>
                <w:lang w:eastAsia="lv-LV"/>
              </w:rPr>
              <w:t>29</w:t>
            </w:r>
          </w:p>
        </w:tc>
        <w:tc>
          <w:tcPr>
            <w:tcW w:w="708" w:type="dxa"/>
            <w:tcBorders>
              <w:top w:val="single" w:sz="4" w:space="0" w:color="000000"/>
              <w:left w:val="single" w:sz="4" w:space="0" w:color="000000"/>
              <w:bottom w:val="single" w:sz="4" w:space="0" w:color="000000"/>
              <w:right w:val="single" w:sz="4" w:space="0" w:color="000000"/>
            </w:tcBorders>
            <w:vAlign w:val="center"/>
          </w:tcPr>
          <w:p w14:paraId="2D0B3C86" w14:textId="77777777" w:rsidR="00087872" w:rsidRDefault="00256B13">
            <w:pPr>
              <w:widowControl w:val="0"/>
              <w:spacing w:after="0" w:line="240" w:lineRule="auto"/>
              <w:jc w:val="center"/>
              <w:rPr>
                <w:sz w:val="20"/>
                <w:szCs w:val="20"/>
                <w:lang w:eastAsia="lv-LV"/>
              </w:rPr>
            </w:pPr>
            <w:r>
              <w:rPr>
                <w:sz w:val="20"/>
                <w:szCs w:val="20"/>
                <w:lang w:eastAsia="lv-LV"/>
              </w:rPr>
              <w:t>60</w:t>
            </w:r>
          </w:p>
        </w:tc>
        <w:tc>
          <w:tcPr>
            <w:tcW w:w="712" w:type="dxa"/>
            <w:tcBorders>
              <w:top w:val="single" w:sz="4" w:space="0" w:color="000000"/>
              <w:left w:val="single" w:sz="4" w:space="0" w:color="000000"/>
              <w:bottom w:val="single" w:sz="4" w:space="0" w:color="000000"/>
              <w:right w:val="single" w:sz="4" w:space="0" w:color="000000"/>
            </w:tcBorders>
            <w:vAlign w:val="center"/>
          </w:tcPr>
          <w:p w14:paraId="231DBA99" w14:textId="77777777" w:rsidR="00087872" w:rsidRDefault="00256B13">
            <w:pPr>
              <w:widowControl w:val="0"/>
              <w:spacing w:after="0" w:line="240" w:lineRule="auto"/>
              <w:jc w:val="center"/>
              <w:rPr>
                <w:sz w:val="20"/>
                <w:szCs w:val="20"/>
                <w:lang w:eastAsia="lv-LV"/>
              </w:rPr>
            </w:pPr>
            <w:r>
              <w:rPr>
                <w:sz w:val="20"/>
                <w:szCs w:val="20"/>
                <w:lang w:eastAsia="lv-LV"/>
              </w:rPr>
              <w:t>24</w:t>
            </w:r>
          </w:p>
        </w:tc>
        <w:tc>
          <w:tcPr>
            <w:tcW w:w="708" w:type="dxa"/>
            <w:tcBorders>
              <w:top w:val="single" w:sz="4" w:space="0" w:color="000000"/>
              <w:left w:val="single" w:sz="4" w:space="0" w:color="000000"/>
              <w:bottom w:val="single" w:sz="4" w:space="0" w:color="000000"/>
              <w:right w:val="single" w:sz="4" w:space="0" w:color="000000"/>
            </w:tcBorders>
            <w:vAlign w:val="center"/>
          </w:tcPr>
          <w:p w14:paraId="468C31DC" w14:textId="77777777" w:rsidR="00087872" w:rsidRDefault="00256B13">
            <w:pPr>
              <w:widowControl w:val="0"/>
              <w:spacing w:after="0" w:line="240" w:lineRule="auto"/>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0B619A32"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A651867"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365EFA6" w14:textId="77777777" w:rsidR="00087872" w:rsidRDefault="00256B13">
            <w:pPr>
              <w:widowControl w:val="0"/>
              <w:spacing w:after="0" w:line="240" w:lineRule="auto"/>
              <w:jc w:val="center"/>
              <w:rPr>
                <w:sz w:val="20"/>
                <w:szCs w:val="20"/>
              </w:rPr>
            </w:pPr>
            <w:r>
              <w:rPr>
                <w:sz w:val="20"/>
                <w:szCs w:val="20"/>
              </w:rPr>
              <w:t>-</w:t>
            </w:r>
          </w:p>
        </w:tc>
      </w:tr>
      <w:tr w:rsidR="00087872" w14:paraId="44020A3A"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F740F64" w14:textId="77777777" w:rsidR="00087872" w:rsidRDefault="00256B13">
            <w:pPr>
              <w:widowControl w:val="0"/>
              <w:spacing w:after="0" w:line="240" w:lineRule="auto"/>
              <w:jc w:val="center"/>
              <w:rPr>
                <w:sz w:val="20"/>
                <w:szCs w:val="20"/>
                <w:lang w:eastAsia="lv-LV"/>
              </w:rPr>
            </w:pPr>
            <w:r>
              <w:rPr>
                <w:sz w:val="20"/>
                <w:szCs w:val="20"/>
                <w:lang w:eastAsia="lv-LV"/>
              </w:rPr>
              <w:t>Ēdināšanas pakalpojumu speciālists uz kuģiem (3)</w:t>
            </w:r>
          </w:p>
        </w:tc>
        <w:tc>
          <w:tcPr>
            <w:tcW w:w="568" w:type="dxa"/>
            <w:tcBorders>
              <w:top w:val="single" w:sz="4" w:space="0" w:color="000000"/>
              <w:left w:val="single" w:sz="4" w:space="0" w:color="000000"/>
              <w:bottom w:val="single" w:sz="4" w:space="0" w:color="000000"/>
              <w:right w:val="single" w:sz="4" w:space="0" w:color="000000"/>
            </w:tcBorders>
            <w:vAlign w:val="center"/>
          </w:tcPr>
          <w:p w14:paraId="427F323D" w14:textId="77777777" w:rsidR="00087872" w:rsidRDefault="00256B13">
            <w:pPr>
              <w:widowControl w:val="0"/>
              <w:spacing w:after="0" w:line="240" w:lineRule="auto"/>
              <w:jc w:val="center"/>
              <w:rPr>
                <w:sz w:val="20"/>
                <w:szCs w:val="20"/>
                <w:lang w:eastAsia="lv-LV"/>
              </w:rPr>
            </w:pPr>
            <w:r>
              <w:rPr>
                <w:sz w:val="20"/>
                <w:szCs w:val="20"/>
                <w:lang w:eastAsia="lv-LV"/>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24B72FDE"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12" w:type="dxa"/>
            <w:tcBorders>
              <w:top w:val="single" w:sz="4" w:space="0" w:color="000000"/>
              <w:left w:val="single" w:sz="4" w:space="0" w:color="000000"/>
              <w:bottom w:val="single" w:sz="4" w:space="0" w:color="000000"/>
              <w:right w:val="single" w:sz="4" w:space="0" w:color="000000"/>
            </w:tcBorders>
            <w:vAlign w:val="center"/>
          </w:tcPr>
          <w:p w14:paraId="22B42C1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50C6364"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774DE8E3"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2EC4C85"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E404E20" w14:textId="77777777" w:rsidR="00087872" w:rsidRDefault="00256B13">
            <w:pPr>
              <w:widowControl w:val="0"/>
              <w:spacing w:after="0" w:line="240" w:lineRule="auto"/>
              <w:jc w:val="center"/>
              <w:rPr>
                <w:sz w:val="20"/>
                <w:szCs w:val="20"/>
              </w:rPr>
            </w:pPr>
            <w:r>
              <w:rPr>
                <w:sz w:val="20"/>
                <w:szCs w:val="20"/>
              </w:rPr>
              <w:t>-</w:t>
            </w:r>
          </w:p>
        </w:tc>
      </w:tr>
      <w:tr w:rsidR="00087872" w14:paraId="3932D99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D4F336E" w14:textId="77777777" w:rsidR="00087872" w:rsidRDefault="00256B13">
            <w:pPr>
              <w:widowControl w:val="0"/>
              <w:spacing w:after="0" w:line="240" w:lineRule="auto"/>
              <w:jc w:val="center"/>
              <w:rPr>
                <w:sz w:val="20"/>
                <w:szCs w:val="20"/>
                <w:lang w:eastAsia="lv-LV"/>
              </w:rPr>
            </w:pPr>
            <w:r>
              <w:rPr>
                <w:sz w:val="20"/>
                <w:szCs w:val="20"/>
                <w:lang w:eastAsia="lv-LV"/>
              </w:rPr>
              <w:t xml:space="preserve">Ēku </w:t>
            </w:r>
            <w:proofErr w:type="spellStart"/>
            <w:r>
              <w:rPr>
                <w:sz w:val="20"/>
                <w:szCs w:val="20"/>
                <w:lang w:eastAsia="lv-LV"/>
              </w:rPr>
              <w:t>būvtehniķis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0274CD12"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5EBD14D" w14:textId="77777777" w:rsidR="00087872" w:rsidRDefault="00256B13">
            <w:pPr>
              <w:widowControl w:val="0"/>
              <w:spacing w:after="0" w:line="240" w:lineRule="auto"/>
              <w:jc w:val="center"/>
              <w:rPr>
                <w:sz w:val="20"/>
                <w:szCs w:val="20"/>
                <w:lang w:eastAsia="lv-LV"/>
              </w:rPr>
            </w:pPr>
            <w:r>
              <w:rPr>
                <w:sz w:val="20"/>
                <w:szCs w:val="20"/>
                <w:lang w:eastAsia="lv-LV"/>
              </w:rPr>
              <w:t>3</w:t>
            </w:r>
          </w:p>
        </w:tc>
        <w:tc>
          <w:tcPr>
            <w:tcW w:w="712" w:type="dxa"/>
            <w:tcBorders>
              <w:top w:val="single" w:sz="4" w:space="0" w:color="000000"/>
              <w:left w:val="single" w:sz="4" w:space="0" w:color="000000"/>
              <w:bottom w:val="single" w:sz="4" w:space="0" w:color="000000"/>
              <w:right w:val="single" w:sz="4" w:space="0" w:color="000000"/>
            </w:tcBorders>
            <w:vAlign w:val="center"/>
          </w:tcPr>
          <w:p w14:paraId="52C965CB" w14:textId="77777777" w:rsidR="00087872" w:rsidRDefault="00256B13">
            <w:pPr>
              <w:widowControl w:val="0"/>
              <w:spacing w:after="0" w:line="240" w:lineRule="auto"/>
              <w:jc w:val="center"/>
              <w:rPr>
                <w:sz w:val="20"/>
                <w:szCs w:val="20"/>
                <w:lang w:eastAsia="lv-LV"/>
              </w:rPr>
            </w:pPr>
            <w:r>
              <w:rPr>
                <w:sz w:val="20"/>
                <w:szCs w:val="20"/>
                <w:lang w:eastAsia="lv-LV"/>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13530007" w14:textId="77777777" w:rsidR="00087872" w:rsidRDefault="00256B13">
            <w:pPr>
              <w:widowControl w:val="0"/>
              <w:spacing w:after="0" w:line="240" w:lineRule="auto"/>
              <w:jc w:val="center"/>
              <w:rPr>
                <w:sz w:val="20"/>
                <w:szCs w:val="20"/>
              </w:rPr>
            </w:pPr>
            <w:r>
              <w:rPr>
                <w:sz w:val="20"/>
                <w:szCs w:val="20"/>
              </w:rPr>
              <w:t>8</w:t>
            </w:r>
          </w:p>
        </w:tc>
        <w:tc>
          <w:tcPr>
            <w:tcW w:w="707" w:type="dxa"/>
            <w:tcBorders>
              <w:top w:val="single" w:sz="4" w:space="0" w:color="000000"/>
              <w:left w:val="single" w:sz="4" w:space="0" w:color="000000"/>
              <w:bottom w:val="single" w:sz="4" w:space="0" w:color="000000"/>
              <w:right w:val="single" w:sz="4" w:space="0" w:color="000000"/>
            </w:tcBorders>
            <w:vAlign w:val="center"/>
          </w:tcPr>
          <w:p w14:paraId="7234D9DE"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09704D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CA2B627" w14:textId="77777777" w:rsidR="00087872" w:rsidRDefault="00256B13">
            <w:pPr>
              <w:widowControl w:val="0"/>
              <w:spacing w:after="0" w:line="240" w:lineRule="auto"/>
              <w:jc w:val="center"/>
              <w:rPr>
                <w:sz w:val="20"/>
                <w:szCs w:val="20"/>
              </w:rPr>
            </w:pPr>
            <w:r>
              <w:rPr>
                <w:sz w:val="20"/>
                <w:szCs w:val="20"/>
              </w:rPr>
              <w:t>4</w:t>
            </w:r>
          </w:p>
        </w:tc>
      </w:tr>
      <w:tr w:rsidR="00087872" w14:paraId="2771B89D"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ED29DEB" w14:textId="77777777" w:rsidR="00087872" w:rsidRDefault="00256B13">
            <w:pPr>
              <w:widowControl w:val="0"/>
              <w:spacing w:after="0" w:line="240" w:lineRule="auto"/>
              <w:jc w:val="center"/>
              <w:rPr>
                <w:sz w:val="20"/>
                <w:szCs w:val="20"/>
                <w:lang w:eastAsia="lv-LV"/>
              </w:rPr>
            </w:pPr>
            <w:r>
              <w:rPr>
                <w:sz w:val="20"/>
                <w:szCs w:val="20"/>
                <w:lang w:eastAsia="lv-LV"/>
              </w:rPr>
              <w:t>Ēku celtnieks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1012A52" w14:textId="77777777" w:rsidR="00087872" w:rsidRDefault="00256B13">
            <w:pPr>
              <w:widowControl w:val="0"/>
              <w:spacing w:after="0" w:line="240" w:lineRule="auto"/>
              <w:jc w:val="center"/>
              <w:rPr>
                <w:sz w:val="20"/>
                <w:szCs w:val="20"/>
                <w:lang w:eastAsia="lv-LV"/>
              </w:rPr>
            </w:pPr>
            <w:r>
              <w:rPr>
                <w:sz w:val="20"/>
                <w:szCs w:val="20"/>
                <w:lang w:eastAsia="lv-LV"/>
              </w:rPr>
              <w:t>19</w:t>
            </w:r>
          </w:p>
        </w:tc>
        <w:tc>
          <w:tcPr>
            <w:tcW w:w="708" w:type="dxa"/>
            <w:tcBorders>
              <w:top w:val="single" w:sz="4" w:space="0" w:color="000000"/>
              <w:left w:val="single" w:sz="4" w:space="0" w:color="000000"/>
              <w:bottom w:val="single" w:sz="4" w:space="0" w:color="000000"/>
              <w:right w:val="single" w:sz="4" w:space="0" w:color="000000"/>
            </w:tcBorders>
            <w:vAlign w:val="center"/>
          </w:tcPr>
          <w:p w14:paraId="44C15FA2" w14:textId="77777777" w:rsidR="00087872" w:rsidRDefault="00256B13">
            <w:pPr>
              <w:widowControl w:val="0"/>
              <w:spacing w:after="0" w:line="240" w:lineRule="auto"/>
              <w:jc w:val="center"/>
              <w:rPr>
                <w:sz w:val="20"/>
                <w:szCs w:val="20"/>
                <w:lang w:eastAsia="lv-LV"/>
              </w:rPr>
            </w:pPr>
            <w:r>
              <w:rPr>
                <w:sz w:val="20"/>
                <w:szCs w:val="20"/>
                <w:lang w:eastAsia="lv-LV"/>
              </w:rPr>
              <w:t>13</w:t>
            </w:r>
          </w:p>
        </w:tc>
        <w:tc>
          <w:tcPr>
            <w:tcW w:w="712" w:type="dxa"/>
            <w:tcBorders>
              <w:top w:val="single" w:sz="4" w:space="0" w:color="000000"/>
              <w:left w:val="single" w:sz="4" w:space="0" w:color="000000"/>
              <w:bottom w:val="single" w:sz="4" w:space="0" w:color="000000"/>
              <w:right w:val="single" w:sz="4" w:space="0" w:color="000000"/>
            </w:tcBorders>
            <w:vAlign w:val="center"/>
          </w:tcPr>
          <w:p w14:paraId="497EAD8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D31E09"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D33EF87"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C78C09F"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F825E8A" w14:textId="77777777" w:rsidR="00087872" w:rsidRDefault="00256B13">
            <w:pPr>
              <w:widowControl w:val="0"/>
              <w:spacing w:after="0" w:line="240" w:lineRule="auto"/>
              <w:jc w:val="center"/>
              <w:rPr>
                <w:sz w:val="20"/>
                <w:szCs w:val="20"/>
              </w:rPr>
            </w:pPr>
            <w:r>
              <w:rPr>
                <w:sz w:val="20"/>
                <w:szCs w:val="20"/>
              </w:rPr>
              <w:t>-</w:t>
            </w:r>
          </w:p>
        </w:tc>
      </w:tr>
      <w:tr w:rsidR="00087872" w14:paraId="2793D487"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50C428C4" w14:textId="77777777" w:rsidR="00087872" w:rsidRDefault="00256B13">
            <w:pPr>
              <w:widowControl w:val="0"/>
              <w:spacing w:after="0" w:line="240" w:lineRule="auto"/>
              <w:jc w:val="center"/>
              <w:rPr>
                <w:sz w:val="20"/>
                <w:szCs w:val="20"/>
                <w:lang w:eastAsia="lv-LV"/>
              </w:rPr>
            </w:pPr>
            <w:r>
              <w:rPr>
                <w:sz w:val="20"/>
                <w:szCs w:val="20"/>
                <w:lang w:eastAsia="lv-LV"/>
              </w:rPr>
              <w:t>Foto dizaina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05CB6D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FDFA641" w14:textId="77777777" w:rsidR="00087872" w:rsidRDefault="00256B13">
            <w:pPr>
              <w:widowControl w:val="0"/>
              <w:spacing w:after="0" w:line="240" w:lineRule="auto"/>
              <w:jc w:val="center"/>
              <w:rPr>
                <w:sz w:val="20"/>
                <w:szCs w:val="20"/>
                <w:lang w:eastAsia="lv-LV"/>
              </w:rPr>
            </w:pPr>
            <w:r>
              <w:rPr>
                <w:sz w:val="20"/>
                <w:szCs w:val="20"/>
                <w:lang w:eastAsia="lv-LV"/>
              </w:rPr>
              <w:t>3</w:t>
            </w:r>
          </w:p>
        </w:tc>
        <w:tc>
          <w:tcPr>
            <w:tcW w:w="712" w:type="dxa"/>
            <w:tcBorders>
              <w:top w:val="single" w:sz="4" w:space="0" w:color="000000"/>
              <w:left w:val="single" w:sz="4" w:space="0" w:color="000000"/>
              <w:bottom w:val="single" w:sz="4" w:space="0" w:color="000000"/>
              <w:right w:val="single" w:sz="4" w:space="0" w:color="000000"/>
            </w:tcBorders>
            <w:vAlign w:val="center"/>
          </w:tcPr>
          <w:p w14:paraId="51F9FC61" w14:textId="77777777" w:rsidR="00087872" w:rsidRDefault="00256B13">
            <w:pPr>
              <w:widowControl w:val="0"/>
              <w:spacing w:after="0" w:line="240" w:lineRule="auto"/>
              <w:jc w:val="center"/>
              <w:rPr>
                <w:sz w:val="20"/>
                <w:szCs w:val="20"/>
                <w:lang w:eastAsia="lv-LV"/>
              </w:rPr>
            </w:pPr>
            <w:r>
              <w:rPr>
                <w:sz w:val="20"/>
                <w:szCs w:val="20"/>
                <w:lang w:eastAsia="lv-LV"/>
              </w:rPr>
              <w:t>13</w:t>
            </w:r>
          </w:p>
        </w:tc>
        <w:tc>
          <w:tcPr>
            <w:tcW w:w="708" w:type="dxa"/>
            <w:tcBorders>
              <w:top w:val="single" w:sz="4" w:space="0" w:color="000000"/>
              <w:left w:val="single" w:sz="4" w:space="0" w:color="000000"/>
              <w:bottom w:val="single" w:sz="4" w:space="0" w:color="000000"/>
              <w:right w:val="single" w:sz="4" w:space="0" w:color="000000"/>
            </w:tcBorders>
            <w:vAlign w:val="center"/>
          </w:tcPr>
          <w:p w14:paraId="7E53FD3C" w14:textId="77777777" w:rsidR="00087872" w:rsidRDefault="00256B13">
            <w:pPr>
              <w:widowControl w:val="0"/>
              <w:spacing w:after="0" w:line="240" w:lineRule="auto"/>
              <w:jc w:val="center"/>
              <w:rPr>
                <w:sz w:val="20"/>
                <w:szCs w:val="20"/>
              </w:rPr>
            </w:pPr>
            <w:r>
              <w:rPr>
                <w:sz w:val="20"/>
                <w:szCs w:val="20"/>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7726EB7E" w14:textId="77777777" w:rsidR="00087872" w:rsidRDefault="00256B13">
            <w:pPr>
              <w:widowControl w:val="0"/>
              <w:spacing w:after="0" w:line="240" w:lineRule="auto"/>
              <w:jc w:val="center"/>
              <w:rPr>
                <w:sz w:val="20"/>
                <w:szCs w:val="20"/>
              </w:rPr>
            </w:pPr>
            <w:r>
              <w:rPr>
                <w:sz w:val="20"/>
                <w:szCs w:val="20"/>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2B2534FD"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4D6E9D42" w14:textId="77777777" w:rsidR="00087872" w:rsidRDefault="00256B13">
            <w:pPr>
              <w:widowControl w:val="0"/>
              <w:spacing w:after="0" w:line="240" w:lineRule="auto"/>
              <w:jc w:val="center"/>
              <w:rPr>
                <w:sz w:val="20"/>
                <w:szCs w:val="20"/>
              </w:rPr>
            </w:pPr>
            <w:r>
              <w:rPr>
                <w:sz w:val="20"/>
                <w:szCs w:val="20"/>
              </w:rPr>
              <w:t>-</w:t>
            </w:r>
          </w:p>
        </w:tc>
      </w:tr>
      <w:tr w:rsidR="00087872" w14:paraId="03C245B2"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D4D19EE" w14:textId="77777777" w:rsidR="00087872" w:rsidRDefault="00256B13">
            <w:pPr>
              <w:widowControl w:val="0"/>
              <w:spacing w:after="0" w:line="240" w:lineRule="auto"/>
              <w:jc w:val="center"/>
              <w:rPr>
                <w:sz w:val="20"/>
                <w:szCs w:val="20"/>
                <w:lang w:eastAsia="lv-LV"/>
              </w:rPr>
            </w:pPr>
            <w:r>
              <w:rPr>
                <w:sz w:val="20"/>
                <w:szCs w:val="20"/>
                <w:lang w:eastAsia="lv-LV"/>
              </w:rPr>
              <w:t>Frizieris (2)</w:t>
            </w:r>
          </w:p>
        </w:tc>
        <w:tc>
          <w:tcPr>
            <w:tcW w:w="568" w:type="dxa"/>
            <w:tcBorders>
              <w:top w:val="single" w:sz="4" w:space="0" w:color="000000"/>
              <w:left w:val="single" w:sz="4" w:space="0" w:color="000000"/>
              <w:bottom w:val="single" w:sz="4" w:space="0" w:color="000000"/>
              <w:right w:val="single" w:sz="4" w:space="0" w:color="000000"/>
            </w:tcBorders>
            <w:vAlign w:val="center"/>
          </w:tcPr>
          <w:p w14:paraId="41E8A5F7" w14:textId="77777777" w:rsidR="00087872" w:rsidRDefault="00256B13">
            <w:pPr>
              <w:widowControl w:val="0"/>
              <w:spacing w:after="0" w:line="240" w:lineRule="auto"/>
              <w:jc w:val="center"/>
              <w:rPr>
                <w:sz w:val="20"/>
                <w:szCs w:val="20"/>
                <w:lang w:eastAsia="lv-LV"/>
              </w:rPr>
            </w:pPr>
            <w:r>
              <w:rPr>
                <w:sz w:val="20"/>
                <w:szCs w:val="20"/>
                <w:lang w:eastAsia="lv-LV"/>
              </w:rPr>
              <w:t>26</w:t>
            </w:r>
          </w:p>
        </w:tc>
        <w:tc>
          <w:tcPr>
            <w:tcW w:w="708" w:type="dxa"/>
            <w:tcBorders>
              <w:top w:val="single" w:sz="4" w:space="0" w:color="000000"/>
              <w:left w:val="single" w:sz="4" w:space="0" w:color="000000"/>
              <w:bottom w:val="single" w:sz="4" w:space="0" w:color="000000"/>
              <w:right w:val="single" w:sz="4" w:space="0" w:color="000000"/>
            </w:tcBorders>
            <w:vAlign w:val="center"/>
          </w:tcPr>
          <w:p w14:paraId="1533BACB"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12" w:type="dxa"/>
            <w:tcBorders>
              <w:top w:val="single" w:sz="4" w:space="0" w:color="000000"/>
              <w:left w:val="single" w:sz="4" w:space="0" w:color="000000"/>
              <w:bottom w:val="single" w:sz="4" w:space="0" w:color="000000"/>
              <w:right w:val="single" w:sz="4" w:space="0" w:color="000000"/>
            </w:tcBorders>
            <w:vAlign w:val="center"/>
          </w:tcPr>
          <w:p w14:paraId="7C91AAD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B54545E"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D359EFE"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D21786D"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4815B4B4" w14:textId="77777777" w:rsidR="00087872" w:rsidRDefault="00256B13">
            <w:pPr>
              <w:widowControl w:val="0"/>
              <w:spacing w:after="0" w:line="240" w:lineRule="auto"/>
              <w:jc w:val="center"/>
              <w:rPr>
                <w:sz w:val="20"/>
                <w:szCs w:val="20"/>
              </w:rPr>
            </w:pPr>
            <w:r>
              <w:rPr>
                <w:sz w:val="20"/>
                <w:szCs w:val="20"/>
              </w:rPr>
              <w:t>2</w:t>
            </w:r>
          </w:p>
        </w:tc>
      </w:tr>
      <w:tr w:rsidR="00087872" w14:paraId="4C3C7C3D"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EF86B25" w14:textId="77777777" w:rsidR="00087872" w:rsidRDefault="00256B13">
            <w:pPr>
              <w:widowControl w:val="0"/>
              <w:spacing w:after="0" w:line="240" w:lineRule="auto"/>
              <w:jc w:val="center"/>
              <w:rPr>
                <w:sz w:val="20"/>
                <w:szCs w:val="20"/>
                <w:lang w:eastAsia="lv-LV"/>
              </w:rPr>
            </w:pPr>
            <w:r>
              <w:rPr>
                <w:sz w:val="20"/>
                <w:szCs w:val="20"/>
                <w:lang w:eastAsia="lv-LV"/>
              </w:rPr>
              <w:t>Frizieris – stilists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B334E1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A47DEE2" w14:textId="77777777" w:rsidR="00087872" w:rsidRDefault="00256B13">
            <w:pPr>
              <w:widowControl w:val="0"/>
              <w:spacing w:after="0" w:line="240" w:lineRule="auto"/>
              <w:jc w:val="center"/>
              <w:rPr>
                <w:sz w:val="20"/>
                <w:szCs w:val="20"/>
                <w:lang w:eastAsia="lv-LV"/>
              </w:rPr>
            </w:pPr>
            <w:r>
              <w:rPr>
                <w:sz w:val="20"/>
                <w:szCs w:val="20"/>
                <w:lang w:eastAsia="lv-LV"/>
              </w:rPr>
              <w:t>17</w:t>
            </w:r>
          </w:p>
        </w:tc>
        <w:tc>
          <w:tcPr>
            <w:tcW w:w="712" w:type="dxa"/>
            <w:tcBorders>
              <w:top w:val="single" w:sz="4" w:space="0" w:color="000000"/>
              <w:left w:val="single" w:sz="4" w:space="0" w:color="000000"/>
              <w:bottom w:val="single" w:sz="4" w:space="0" w:color="000000"/>
              <w:right w:val="single" w:sz="4" w:space="0" w:color="000000"/>
            </w:tcBorders>
            <w:vAlign w:val="center"/>
          </w:tcPr>
          <w:p w14:paraId="623E8115"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12EADB92"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6F63AD1"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F3B4868"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0558782" w14:textId="77777777" w:rsidR="00087872" w:rsidRDefault="00256B13">
            <w:pPr>
              <w:widowControl w:val="0"/>
              <w:spacing w:after="0" w:line="240" w:lineRule="auto"/>
              <w:jc w:val="center"/>
              <w:rPr>
                <w:sz w:val="20"/>
                <w:szCs w:val="20"/>
              </w:rPr>
            </w:pPr>
            <w:r>
              <w:rPr>
                <w:sz w:val="20"/>
                <w:szCs w:val="20"/>
              </w:rPr>
              <w:t>-</w:t>
            </w:r>
          </w:p>
        </w:tc>
      </w:tr>
      <w:tr w:rsidR="00087872" w14:paraId="61F2A7B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7770D39" w14:textId="77777777" w:rsidR="00087872" w:rsidRDefault="00256B13">
            <w:pPr>
              <w:widowControl w:val="0"/>
              <w:spacing w:after="0" w:line="240" w:lineRule="auto"/>
              <w:jc w:val="center"/>
              <w:rPr>
                <w:sz w:val="20"/>
                <w:szCs w:val="20"/>
                <w:lang w:eastAsia="lv-LV"/>
              </w:rPr>
            </w:pPr>
            <w:r>
              <w:rPr>
                <w:sz w:val="20"/>
                <w:szCs w:val="20"/>
                <w:lang w:eastAsia="lv-LV"/>
              </w:rPr>
              <w:t>Galdnieks (2)</w:t>
            </w:r>
          </w:p>
        </w:tc>
        <w:tc>
          <w:tcPr>
            <w:tcW w:w="568" w:type="dxa"/>
            <w:tcBorders>
              <w:top w:val="single" w:sz="4" w:space="0" w:color="000000"/>
              <w:left w:val="single" w:sz="4" w:space="0" w:color="000000"/>
              <w:bottom w:val="single" w:sz="4" w:space="0" w:color="000000"/>
              <w:right w:val="single" w:sz="4" w:space="0" w:color="000000"/>
            </w:tcBorders>
            <w:vAlign w:val="center"/>
          </w:tcPr>
          <w:p w14:paraId="3D430E1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081302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721E653"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A8DA591"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71573FB"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D0F48E3"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0E6C0B1A" w14:textId="77777777" w:rsidR="00087872" w:rsidRDefault="00256B13">
            <w:pPr>
              <w:widowControl w:val="0"/>
              <w:spacing w:after="0" w:line="240" w:lineRule="auto"/>
              <w:jc w:val="center"/>
              <w:rPr>
                <w:sz w:val="20"/>
                <w:szCs w:val="20"/>
              </w:rPr>
            </w:pPr>
            <w:r>
              <w:rPr>
                <w:sz w:val="20"/>
                <w:szCs w:val="20"/>
              </w:rPr>
              <w:t>-</w:t>
            </w:r>
          </w:p>
        </w:tc>
      </w:tr>
      <w:tr w:rsidR="00087872" w14:paraId="1E142B3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5198F1F" w14:textId="77777777" w:rsidR="00087872" w:rsidRDefault="00256B13">
            <w:pPr>
              <w:widowControl w:val="0"/>
              <w:spacing w:after="0" w:line="240" w:lineRule="auto"/>
              <w:jc w:val="center"/>
              <w:rPr>
                <w:sz w:val="20"/>
                <w:szCs w:val="20"/>
                <w:lang w:eastAsia="lv-LV"/>
              </w:rPr>
            </w:pPr>
            <w:r>
              <w:rPr>
                <w:sz w:val="20"/>
                <w:szCs w:val="20"/>
                <w:lang w:eastAsia="lv-LV"/>
              </w:rPr>
              <w:t xml:space="preserve">Iespieddarbu digitālā noformējuma </w:t>
            </w:r>
            <w:r>
              <w:rPr>
                <w:sz w:val="20"/>
                <w:szCs w:val="20"/>
                <w:lang w:eastAsia="lv-LV"/>
              </w:rPr>
              <w:t>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094581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604ADFE"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12" w:type="dxa"/>
            <w:tcBorders>
              <w:top w:val="single" w:sz="4" w:space="0" w:color="000000"/>
              <w:left w:val="single" w:sz="4" w:space="0" w:color="000000"/>
              <w:bottom w:val="single" w:sz="4" w:space="0" w:color="000000"/>
              <w:right w:val="single" w:sz="4" w:space="0" w:color="000000"/>
            </w:tcBorders>
            <w:vAlign w:val="center"/>
          </w:tcPr>
          <w:p w14:paraId="3C93CD3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D350FC0"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7A9FEE2"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FA3FE8A"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168D730" w14:textId="77777777" w:rsidR="00087872" w:rsidRDefault="00256B13">
            <w:pPr>
              <w:widowControl w:val="0"/>
              <w:spacing w:after="0" w:line="240" w:lineRule="auto"/>
              <w:jc w:val="center"/>
              <w:rPr>
                <w:sz w:val="20"/>
                <w:szCs w:val="20"/>
              </w:rPr>
            </w:pPr>
            <w:r>
              <w:rPr>
                <w:sz w:val="20"/>
                <w:szCs w:val="20"/>
              </w:rPr>
              <w:t>-</w:t>
            </w:r>
          </w:p>
        </w:tc>
      </w:tr>
      <w:tr w:rsidR="00087872" w14:paraId="3CA6E4B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6CAFAEF" w14:textId="77777777" w:rsidR="00087872" w:rsidRDefault="00256B13">
            <w:pPr>
              <w:widowControl w:val="0"/>
              <w:spacing w:after="0" w:line="240" w:lineRule="auto"/>
              <w:jc w:val="center"/>
              <w:rPr>
                <w:sz w:val="20"/>
                <w:szCs w:val="20"/>
                <w:lang w:eastAsia="lv-LV"/>
              </w:rPr>
            </w:pPr>
            <w:r>
              <w:rPr>
                <w:sz w:val="20"/>
                <w:szCs w:val="20"/>
                <w:lang w:eastAsia="lv-LV"/>
              </w:rPr>
              <w:t>Grāmatvedis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4095268" w14:textId="77777777" w:rsidR="00087872" w:rsidRDefault="00256B13">
            <w:pPr>
              <w:widowControl w:val="0"/>
              <w:spacing w:after="0" w:line="240" w:lineRule="auto"/>
              <w:jc w:val="center"/>
              <w:rPr>
                <w:sz w:val="20"/>
                <w:szCs w:val="20"/>
                <w:lang w:eastAsia="lv-LV"/>
              </w:rPr>
            </w:pPr>
            <w:r>
              <w:rPr>
                <w:sz w:val="20"/>
                <w:szCs w:val="20"/>
                <w:lang w:eastAsia="lv-LV"/>
              </w:rPr>
              <w:t>40</w:t>
            </w:r>
          </w:p>
        </w:tc>
        <w:tc>
          <w:tcPr>
            <w:tcW w:w="708" w:type="dxa"/>
            <w:tcBorders>
              <w:top w:val="single" w:sz="4" w:space="0" w:color="000000"/>
              <w:left w:val="single" w:sz="4" w:space="0" w:color="000000"/>
              <w:bottom w:val="single" w:sz="4" w:space="0" w:color="000000"/>
              <w:right w:val="single" w:sz="4" w:space="0" w:color="000000"/>
            </w:tcBorders>
            <w:vAlign w:val="center"/>
          </w:tcPr>
          <w:p w14:paraId="64AB205E" w14:textId="77777777" w:rsidR="00087872" w:rsidRDefault="00256B13">
            <w:pPr>
              <w:widowControl w:val="0"/>
              <w:spacing w:after="0" w:line="240" w:lineRule="auto"/>
              <w:jc w:val="center"/>
              <w:rPr>
                <w:sz w:val="20"/>
                <w:szCs w:val="20"/>
                <w:lang w:eastAsia="lv-LV"/>
              </w:rPr>
            </w:pPr>
            <w:r>
              <w:rPr>
                <w:sz w:val="20"/>
                <w:szCs w:val="20"/>
                <w:lang w:eastAsia="lv-LV"/>
              </w:rPr>
              <w:t>19</w:t>
            </w:r>
          </w:p>
        </w:tc>
        <w:tc>
          <w:tcPr>
            <w:tcW w:w="712" w:type="dxa"/>
            <w:tcBorders>
              <w:top w:val="single" w:sz="4" w:space="0" w:color="000000"/>
              <w:left w:val="single" w:sz="4" w:space="0" w:color="000000"/>
              <w:bottom w:val="single" w:sz="4" w:space="0" w:color="000000"/>
              <w:right w:val="single" w:sz="4" w:space="0" w:color="000000"/>
            </w:tcBorders>
            <w:vAlign w:val="center"/>
          </w:tcPr>
          <w:p w14:paraId="1405A605" w14:textId="77777777" w:rsidR="00087872" w:rsidRDefault="00256B13">
            <w:pPr>
              <w:widowControl w:val="0"/>
              <w:spacing w:after="0" w:line="240" w:lineRule="auto"/>
              <w:jc w:val="center"/>
              <w:rPr>
                <w:sz w:val="20"/>
                <w:szCs w:val="20"/>
                <w:lang w:eastAsia="lv-LV"/>
              </w:rPr>
            </w:pPr>
            <w:r>
              <w:rPr>
                <w:sz w:val="20"/>
                <w:szCs w:val="20"/>
                <w:lang w:eastAsia="lv-LV"/>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7BEC890" w14:textId="77777777" w:rsidR="00087872" w:rsidRDefault="00256B13">
            <w:pPr>
              <w:widowControl w:val="0"/>
              <w:spacing w:after="0" w:line="240" w:lineRule="auto"/>
              <w:jc w:val="center"/>
              <w:rPr>
                <w:sz w:val="20"/>
                <w:szCs w:val="20"/>
              </w:rPr>
            </w:pPr>
            <w:r>
              <w:rPr>
                <w:sz w:val="20"/>
                <w:szCs w:val="20"/>
              </w:rPr>
              <w:t>20</w:t>
            </w:r>
          </w:p>
        </w:tc>
        <w:tc>
          <w:tcPr>
            <w:tcW w:w="707" w:type="dxa"/>
            <w:tcBorders>
              <w:top w:val="single" w:sz="4" w:space="0" w:color="000000"/>
              <w:left w:val="single" w:sz="4" w:space="0" w:color="000000"/>
              <w:bottom w:val="single" w:sz="4" w:space="0" w:color="000000"/>
              <w:right w:val="single" w:sz="4" w:space="0" w:color="000000"/>
            </w:tcBorders>
            <w:vAlign w:val="center"/>
          </w:tcPr>
          <w:p w14:paraId="2D20FF60" w14:textId="77777777" w:rsidR="00087872" w:rsidRDefault="00256B13">
            <w:pPr>
              <w:widowControl w:val="0"/>
              <w:spacing w:after="0" w:line="240" w:lineRule="auto"/>
              <w:jc w:val="center"/>
              <w:rPr>
                <w:sz w:val="20"/>
                <w:szCs w:val="20"/>
              </w:rPr>
            </w:pPr>
            <w:r>
              <w:rPr>
                <w:sz w:val="20"/>
                <w:szCs w:val="20"/>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65F1CF27" w14:textId="77777777" w:rsidR="00087872" w:rsidRDefault="00256B13">
            <w:pPr>
              <w:widowControl w:val="0"/>
              <w:spacing w:after="0" w:line="240" w:lineRule="auto"/>
              <w:jc w:val="center"/>
              <w:rPr>
                <w:sz w:val="20"/>
                <w:szCs w:val="20"/>
              </w:rPr>
            </w:pPr>
            <w:r>
              <w:rPr>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08A4FDBD" w14:textId="77777777" w:rsidR="00087872" w:rsidRDefault="00256B13">
            <w:pPr>
              <w:widowControl w:val="0"/>
              <w:spacing w:after="0" w:line="240" w:lineRule="auto"/>
              <w:jc w:val="center"/>
              <w:rPr>
                <w:sz w:val="20"/>
                <w:szCs w:val="20"/>
              </w:rPr>
            </w:pPr>
            <w:r>
              <w:rPr>
                <w:sz w:val="20"/>
                <w:szCs w:val="20"/>
              </w:rPr>
              <w:t>30</w:t>
            </w:r>
          </w:p>
        </w:tc>
      </w:tr>
      <w:tr w:rsidR="00087872" w14:paraId="2572DD5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9A1555C" w14:textId="77777777" w:rsidR="00087872" w:rsidRDefault="00256B13">
            <w:pPr>
              <w:widowControl w:val="0"/>
              <w:spacing w:after="0" w:line="240" w:lineRule="auto"/>
              <w:jc w:val="center"/>
              <w:rPr>
                <w:sz w:val="20"/>
                <w:szCs w:val="20"/>
                <w:lang w:eastAsia="lv-LV"/>
              </w:rPr>
            </w:pPr>
            <w:r>
              <w:rPr>
                <w:sz w:val="20"/>
                <w:szCs w:val="20"/>
                <w:lang w:eastAsia="lv-LV"/>
              </w:rPr>
              <w:t xml:space="preserve">Hidrobūvju </w:t>
            </w:r>
            <w:proofErr w:type="spellStart"/>
            <w:r>
              <w:rPr>
                <w:sz w:val="20"/>
                <w:szCs w:val="20"/>
                <w:lang w:eastAsia="lv-LV"/>
              </w:rPr>
              <w:t>būvtehniķis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6D54A78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3ACB31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735FAF0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8CB9848"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759DE715"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5B7042B"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1927C30F" w14:textId="77777777" w:rsidR="00087872" w:rsidRDefault="00256B13">
            <w:pPr>
              <w:widowControl w:val="0"/>
              <w:spacing w:after="0" w:line="240" w:lineRule="auto"/>
              <w:jc w:val="center"/>
              <w:rPr>
                <w:sz w:val="20"/>
                <w:szCs w:val="20"/>
              </w:rPr>
            </w:pPr>
            <w:r>
              <w:rPr>
                <w:sz w:val="20"/>
                <w:szCs w:val="20"/>
              </w:rPr>
              <w:t>2</w:t>
            </w:r>
          </w:p>
        </w:tc>
      </w:tr>
      <w:tr w:rsidR="00087872" w14:paraId="0032C42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2A1D946" w14:textId="77777777" w:rsidR="00087872" w:rsidRDefault="00256B13">
            <w:pPr>
              <w:widowControl w:val="0"/>
              <w:spacing w:after="0" w:line="240" w:lineRule="auto"/>
              <w:jc w:val="center"/>
              <w:rPr>
                <w:sz w:val="20"/>
                <w:szCs w:val="20"/>
                <w:lang w:eastAsia="lv-LV"/>
              </w:rPr>
            </w:pPr>
            <w:r>
              <w:rPr>
                <w:sz w:val="20"/>
                <w:szCs w:val="20"/>
                <w:lang w:eastAsia="lv-LV"/>
              </w:rPr>
              <w:t>Informācijas ievadīšanas operators(3)</w:t>
            </w:r>
          </w:p>
        </w:tc>
        <w:tc>
          <w:tcPr>
            <w:tcW w:w="568" w:type="dxa"/>
            <w:tcBorders>
              <w:top w:val="single" w:sz="4" w:space="0" w:color="000000"/>
              <w:left w:val="single" w:sz="4" w:space="0" w:color="000000"/>
              <w:bottom w:val="single" w:sz="4" w:space="0" w:color="000000"/>
              <w:right w:val="single" w:sz="4" w:space="0" w:color="000000"/>
            </w:tcBorders>
            <w:vAlign w:val="center"/>
          </w:tcPr>
          <w:p w14:paraId="561932A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FB879B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32368C3"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076A230"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238B865"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506EAE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56F76F0" w14:textId="77777777" w:rsidR="00087872" w:rsidRDefault="00256B13">
            <w:pPr>
              <w:widowControl w:val="0"/>
              <w:spacing w:after="0" w:line="240" w:lineRule="auto"/>
              <w:jc w:val="center"/>
              <w:rPr>
                <w:sz w:val="20"/>
                <w:szCs w:val="20"/>
              </w:rPr>
            </w:pPr>
            <w:r>
              <w:rPr>
                <w:sz w:val="20"/>
                <w:szCs w:val="20"/>
              </w:rPr>
              <w:t>-</w:t>
            </w:r>
          </w:p>
        </w:tc>
      </w:tr>
      <w:tr w:rsidR="00087872" w14:paraId="764F9893"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69C0CBF" w14:textId="77777777" w:rsidR="00087872" w:rsidRDefault="00256B13">
            <w:pPr>
              <w:widowControl w:val="0"/>
              <w:spacing w:after="0" w:line="240" w:lineRule="auto"/>
              <w:jc w:val="center"/>
              <w:rPr>
                <w:sz w:val="20"/>
                <w:szCs w:val="20"/>
                <w:lang w:eastAsia="lv-LV"/>
              </w:rPr>
            </w:pPr>
            <w:r>
              <w:rPr>
                <w:sz w:val="20"/>
                <w:szCs w:val="20"/>
                <w:lang w:eastAsia="lv-LV"/>
              </w:rPr>
              <w:t>Interjera dizaina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BA1C98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8BD864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9D629A4"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808411B"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FB6A26A"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C81B538"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711F0CC" w14:textId="77777777" w:rsidR="00087872" w:rsidRDefault="00256B13">
            <w:pPr>
              <w:widowControl w:val="0"/>
              <w:spacing w:after="0" w:line="240" w:lineRule="auto"/>
              <w:jc w:val="center"/>
              <w:rPr>
                <w:sz w:val="20"/>
                <w:szCs w:val="20"/>
              </w:rPr>
            </w:pPr>
            <w:r>
              <w:rPr>
                <w:sz w:val="20"/>
                <w:szCs w:val="20"/>
              </w:rPr>
              <w:t>1</w:t>
            </w:r>
          </w:p>
        </w:tc>
      </w:tr>
      <w:tr w:rsidR="00087872" w14:paraId="79B37DD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69D30C4" w14:textId="77777777" w:rsidR="00087872" w:rsidRDefault="00256B13">
            <w:pPr>
              <w:widowControl w:val="0"/>
              <w:spacing w:after="0" w:line="240" w:lineRule="auto"/>
              <w:jc w:val="center"/>
              <w:rPr>
                <w:sz w:val="20"/>
                <w:szCs w:val="20"/>
                <w:lang w:eastAsia="lv-LV"/>
              </w:rPr>
            </w:pPr>
            <w:r>
              <w:rPr>
                <w:sz w:val="20"/>
                <w:szCs w:val="20"/>
                <w:lang w:eastAsia="lv-LV"/>
              </w:rPr>
              <w:t>Inženierkomunikāciju montētājs (2)</w:t>
            </w:r>
          </w:p>
        </w:tc>
        <w:tc>
          <w:tcPr>
            <w:tcW w:w="568" w:type="dxa"/>
            <w:tcBorders>
              <w:top w:val="single" w:sz="4" w:space="0" w:color="000000"/>
              <w:left w:val="single" w:sz="4" w:space="0" w:color="000000"/>
              <w:bottom w:val="single" w:sz="4" w:space="0" w:color="000000"/>
              <w:right w:val="single" w:sz="4" w:space="0" w:color="000000"/>
            </w:tcBorders>
            <w:vAlign w:val="center"/>
          </w:tcPr>
          <w:p w14:paraId="3764C8A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072E618"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12" w:type="dxa"/>
            <w:tcBorders>
              <w:top w:val="single" w:sz="4" w:space="0" w:color="000000"/>
              <w:left w:val="single" w:sz="4" w:space="0" w:color="000000"/>
              <w:bottom w:val="single" w:sz="4" w:space="0" w:color="000000"/>
              <w:right w:val="single" w:sz="4" w:space="0" w:color="000000"/>
            </w:tcBorders>
            <w:vAlign w:val="center"/>
          </w:tcPr>
          <w:p w14:paraId="42F1F35F" w14:textId="77777777" w:rsidR="00087872" w:rsidRDefault="00256B13">
            <w:pPr>
              <w:widowControl w:val="0"/>
              <w:spacing w:after="0" w:line="240" w:lineRule="auto"/>
              <w:jc w:val="center"/>
              <w:rPr>
                <w:sz w:val="20"/>
                <w:szCs w:val="20"/>
                <w:lang w:eastAsia="lv-LV"/>
              </w:rPr>
            </w:pPr>
            <w:r>
              <w:rPr>
                <w:sz w:val="20"/>
                <w:szCs w:val="20"/>
                <w:lang w:eastAsia="lv-LV"/>
              </w:rPr>
              <w:t>45</w:t>
            </w:r>
          </w:p>
        </w:tc>
        <w:tc>
          <w:tcPr>
            <w:tcW w:w="708" w:type="dxa"/>
            <w:tcBorders>
              <w:top w:val="single" w:sz="4" w:space="0" w:color="000000"/>
              <w:left w:val="single" w:sz="4" w:space="0" w:color="000000"/>
              <w:bottom w:val="single" w:sz="4" w:space="0" w:color="000000"/>
              <w:right w:val="single" w:sz="4" w:space="0" w:color="000000"/>
            </w:tcBorders>
            <w:vAlign w:val="center"/>
          </w:tcPr>
          <w:p w14:paraId="57125662" w14:textId="77777777" w:rsidR="00087872" w:rsidRDefault="00256B13">
            <w:pPr>
              <w:widowControl w:val="0"/>
              <w:spacing w:after="0" w:line="240" w:lineRule="auto"/>
              <w:jc w:val="center"/>
              <w:rPr>
                <w:sz w:val="20"/>
                <w:szCs w:val="20"/>
              </w:rPr>
            </w:pPr>
            <w:r>
              <w:rPr>
                <w:sz w:val="20"/>
                <w:szCs w:val="20"/>
              </w:rPr>
              <w:t>20</w:t>
            </w:r>
          </w:p>
        </w:tc>
        <w:tc>
          <w:tcPr>
            <w:tcW w:w="707" w:type="dxa"/>
            <w:tcBorders>
              <w:top w:val="single" w:sz="4" w:space="0" w:color="000000"/>
              <w:left w:val="single" w:sz="4" w:space="0" w:color="000000"/>
              <w:bottom w:val="single" w:sz="4" w:space="0" w:color="000000"/>
              <w:right w:val="single" w:sz="4" w:space="0" w:color="000000"/>
            </w:tcBorders>
            <w:vAlign w:val="center"/>
          </w:tcPr>
          <w:p w14:paraId="7588C364" w14:textId="77777777" w:rsidR="00087872" w:rsidRDefault="00256B13">
            <w:pPr>
              <w:widowControl w:val="0"/>
              <w:spacing w:after="0" w:line="240" w:lineRule="auto"/>
              <w:jc w:val="center"/>
              <w:rPr>
                <w:sz w:val="20"/>
                <w:szCs w:val="20"/>
              </w:rPr>
            </w:pPr>
            <w:r>
              <w:rPr>
                <w:sz w:val="20"/>
                <w:szCs w:val="20"/>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1ABCD2B5" w14:textId="77777777" w:rsidR="00087872" w:rsidRDefault="00256B13">
            <w:pPr>
              <w:widowControl w:val="0"/>
              <w:spacing w:after="0" w:line="240" w:lineRule="auto"/>
              <w:jc w:val="center"/>
              <w:rPr>
                <w:sz w:val="20"/>
                <w:szCs w:val="20"/>
              </w:rPr>
            </w:pPr>
            <w:r>
              <w:rPr>
                <w:sz w:val="20"/>
                <w:szCs w:val="20"/>
              </w:rPr>
              <w:t>31</w:t>
            </w:r>
          </w:p>
        </w:tc>
        <w:tc>
          <w:tcPr>
            <w:tcW w:w="1133" w:type="dxa"/>
            <w:tcBorders>
              <w:top w:val="single" w:sz="4" w:space="0" w:color="000000"/>
              <w:left w:val="single" w:sz="4" w:space="0" w:color="000000"/>
              <w:bottom w:val="single" w:sz="4" w:space="0" w:color="000000"/>
              <w:right w:val="single" w:sz="4" w:space="0" w:color="000000"/>
            </w:tcBorders>
            <w:vAlign w:val="center"/>
          </w:tcPr>
          <w:p w14:paraId="58EC3B80" w14:textId="77777777" w:rsidR="00087872" w:rsidRDefault="00256B13">
            <w:pPr>
              <w:widowControl w:val="0"/>
              <w:spacing w:after="0" w:line="240" w:lineRule="auto"/>
              <w:jc w:val="center"/>
              <w:rPr>
                <w:sz w:val="20"/>
                <w:szCs w:val="20"/>
              </w:rPr>
            </w:pPr>
            <w:r>
              <w:rPr>
                <w:sz w:val="20"/>
                <w:szCs w:val="20"/>
              </w:rPr>
              <w:t>31</w:t>
            </w:r>
          </w:p>
        </w:tc>
      </w:tr>
      <w:tr w:rsidR="00087872" w14:paraId="206F2C9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5F02B06" w14:textId="77777777" w:rsidR="00087872" w:rsidRDefault="00256B13">
            <w:pPr>
              <w:widowControl w:val="0"/>
              <w:spacing w:after="0" w:line="240" w:lineRule="auto"/>
              <w:jc w:val="center"/>
              <w:rPr>
                <w:sz w:val="20"/>
                <w:szCs w:val="20"/>
                <w:lang w:eastAsia="lv-LV"/>
              </w:rPr>
            </w:pPr>
            <w:r>
              <w:rPr>
                <w:sz w:val="20"/>
                <w:szCs w:val="20"/>
                <w:lang w:eastAsia="lv-LV"/>
              </w:rPr>
              <w:t>Inženierkomunikāciju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9AF77B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B91A9E2" w14:textId="77777777" w:rsidR="00087872" w:rsidRDefault="00256B13">
            <w:pPr>
              <w:widowControl w:val="0"/>
              <w:spacing w:after="0" w:line="240" w:lineRule="auto"/>
              <w:jc w:val="center"/>
              <w:rPr>
                <w:sz w:val="20"/>
                <w:szCs w:val="20"/>
                <w:lang w:eastAsia="lv-LV"/>
              </w:rPr>
            </w:pPr>
            <w:r>
              <w:rPr>
                <w:sz w:val="20"/>
                <w:szCs w:val="20"/>
                <w:lang w:eastAsia="lv-LV"/>
              </w:rPr>
              <w:t>11</w:t>
            </w:r>
          </w:p>
        </w:tc>
        <w:tc>
          <w:tcPr>
            <w:tcW w:w="712" w:type="dxa"/>
            <w:tcBorders>
              <w:top w:val="single" w:sz="4" w:space="0" w:color="000000"/>
              <w:left w:val="single" w:sz="4" w:space="0" w:color="000000"/>
              <w:bottom w:val="single" w:sz="4" w:space="0" w:color="000000"/>
              <w:right w:val="single" w:sz="4" w:space="0" w:color="000000"/>
            </w:tcBorders>
            <w:vAlign w:val="center"/>
          </w:tcPr>
          <w:p w14:paraId="1E2F3897" w14:textId="77777777" w:rsidR="00087872" w:rsidRDefault="00256B13">
            <w:pPr>
              <w:widowControl w:val="0"/>
              <w:spacing w:after="0" w:line="240" w:lineRule="auto"/>
              <w:jc w:val="center"/>
              <w:rPr>
                <w:sz w:val="20"/>
                <w:szCs w:val="20"/>
                <w:lang w:eastAsia="lv-LV"/>
              </w:rPr>
            </w:pPr>
            <w:r>
              <w:rPr>
                <w:sz w:val="20"/>
                <w:szCs w:val="20"/>
                <w:lang w:eastAsia="lv-LV"/>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149ACB81" w14:textId="77777777" w:rsidR="00087872" w:rsidRDefault="00256B13">
            <w:pPr>
              <w:widowControl w:val="0"/>
              <w:spacing w:after="0" w:line="240" w:lineRule="auto"/>
              <w:jc w:val="center"/>
              <w:rPr>
                <w:sz w:val="20"/>
                <w:szCs w:val="20"/>
              </w:rPr>
            </w:pPr>
            <w:r>
              <w:rPr>
                <w:sz w:val="20"/>
                <w:szCs w:val="20"/>
              </w:rPr>
              <w:t>6</w:t>
            </w:r>
          </w:p>
        </w:tc>
        <w:tc>
          <w:tcPr>
            <w:tcW w:w="707" w:type="dxa"/>
            <w:tcBorders>
              <w:top w:val="single" w:sz="4" w:space="0" w:color="000000"/>
              <w:left w:val="single" w:sz="4" w:space="0" w:color="000000"/>
              <w:bottom w:val="single" w:sz="4" w:space="0" w:color="000000"/>
              <w:right w:val="single" w:sz="4" w:space="0" w:color="000000"/>
            </w:tcBorders>
            <w:vAlign w:val="center"/>
          </w:tcPr>
          <w:p w14:paraId="117DD4C1" w14:textId="77777777" w:rsidR="00087872" w:rsidRDefault="00256B13">
            <w:pPr>
              <w:widowControl w:val="0"/>
              <w:spacing w:after="0" w:line="240" w:lineRule="auto"/>
              <w:jc w:val="center"/>
              <w:rPr>
                <w:sz w:val="20"/>
                <w:szCs w:val="20"/>
              </w:rPr>
            </w:pPr>
            <w:r>
              <w:rPr>
                <w:sz w:val="20"/>
                <w:szCs w:val="20"/>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2357AF21"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5E6559C" w14:textId="77777777" w:rsidR="00087872" w:rsidRDefault="00256B13">
            <w:pPr>
              <w:widowControl w:val="0"/>
              <w:spacing w:after="0" w:line="240" w:lineRule="auto"/>
              <w:jc w:val="center"/>
              <w:rPr>
                <w:sz w:val="20"/>
                <w:szCs w:val="20"/>
              </w:rPr>
            </w:pPr>
            <w:r>
              <w:rPr>
                <w:sz w:val="20"/>
                <w:szCs w:val="20"/>
              </w:rPr>
              <w:t>-</w:t>
            </w:r>
          </w:p>
        </w:tc>
      </w:tr>
      <w:tr w:rsidR="00087872" w14:paraId="5D41619D"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40EA4D9" w14:textId="77777777" w:rsidR="00087872" w:rsidRDefault="00256B13">
            <w:pPr>
              <w:widowControl w:val="0"/>
              <w:spacing w:after="0" w:line="240" w:lineRule="auto"/>
              <w:jc w:val="center"/>
              <w:rPr>
                <w:sz w:val="20"/>
                <w:szCs w:val="20"/>
                <w:lang w:eastAsia="lv-LV"/>
              </w:rPr>
            </w:pPr>
            <w:proofErr w:type="spellStart"/>
            <w:r>
              <w:rPr>
                <w:sz w:val="20"/>
                <w:szCs w:val="20"/>
                <w:lang w:eastAsia="lv-LV"/>
              </w:rPr>
              <w:t>Inženiersistēmu</w:t>
            </w:r>
            <w:proofErr w:type="spellEnd"/>
            <w:r>
              <w:rPr>
                <w:sz w:val="20"/>
                <w:szCs w:val="20"/>
                <w:lang w:eastAsia="lv-LV"/>
              </w:rPr>
              <w:t xml:space="preserve"> </w:t>
            </w:r>
            <w:proofErr w:type="spellStart"/>
            <w:r>
              <w:rPr>
                <w:sz w:val="20"/>
                <w:szCs w:val="20"/>
                <w:lang w:eastAsia="lv-LV"/>
              </w:rPr>
              <w:t>būvtehniķis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20D70CA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50DF54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338799F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42B0F51"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2F78E2A"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E159EEC"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E7EB060" w14:textId="77777777" w:rsidR="00087872" w:rsidRDefault="00256B13">
            <w:pPr>
              <w:widowControl w:val="0"/>
              <w:spacing w:after="0" w:line="240" w:lineRule="auto"/>
              <w:jc w:val="center"/>
              <w:rPr>
                <w:sz w:val="20"/>
                <w:szCs w:val="20"/>
              </w:rPr>
            </w:pPr>
            <w:r>
              <w:rPr>
                <w:sz w:val="20"/>
                <w:szCs w:val="20"/>
              </w:rPr>
              <w:t>7</w:t>
            </w:r>
          </w:p>
        </w:tc>
      </w:tr>
      <w:tr w:rsidR="00087872" w14:paraId="1A21B67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04A9EED" w14:textId="77777777" w:rsidR="00087872" w:rsidRDefault="00256B13">
            <w:pPr>
              <w:widowControl w:val="0"/>
              <w:spacing w:after="0" w:line="240" w:lineRule="auto"/>
              <w:jc w:val="center"/>
              <w:rPr>
                <w:sz w:val="20"/>
                <w:szCs w:val="20"/>
                <w:lang w:eastAsia="lv-LV"/>
              </w:rPr>
            </w:pPr>
            <w:proofErr w:type="spellStart"/>
            <w:r>
              <w:rPr>
                <w:sz w:val="20"/>
                <w:szCs w:val="20"/>
                <w:lang w:eastAsia="lv-LV"/>
              </w:rPr>
              <w:t>Inženiersistēmu</w:t>
            </w:r>
            <w:proofErr w:type="spellEnd"/>
            <w:r>
              <w:rPr>
                <w:sz w:val="20"/>
                <w:szCs w:val="20"/>
                <w:lang w:eastAsia="lv-LV"/>
              </w:rPr>
              <w:t xml:space="preserve"> montētājs (2)</w:t>
            </w:r>
          </w:p>
        </w:tc>
        <w:tc>
          <w:tcPr>
            <w:tcW w:w="568" w:type="dxa"/>
            <w:tcBorders>
              <w:top w:val="single" w:sz="4" w:space="0" w:color="000000"/>
              <w:left w:val="single" w:sz="4" w:space="0" w:color="000000"/>
              <w:bottom w:val="single" w:sz="4" w:space="0" w:color="000000"/>
              <w:right w:val="single" w:sz="4" w:space="0" w:color="000000"/>
            </w:tcBorders>
            <w:vAlign w:val="center"/>
          </w:tcPr>
          <w:p w14:paraId="39BFAA3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8F2AC3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60C5B3D0"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9019BE"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2384613"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3E4F548"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1A2B5B5" w14:textId="77777777" w:rsidR="00087872" w:rsidRDefault="00256B13">
            <w:pPr>
              <w:widowControl w:val="0"/>
              <w:spacing w:after="0" w:line="240" w:lineRule="auto"/>
              <w:jc w:val="center"/>
              <w:rPr>
                <w:sz w:val="20"/>
                <w:szCs w:val="20"/>
              </w:rPr>
            </w:pPr>
            <w:r>
              <w:rPr>
                <w:sz w:val="20"/>
                <w:szCs w:val="20"/>
              </w:rPr>
              <w:t>1</w:t>
            </w:r>
          </w:p>
        </w:tc>
      </w:tr>
      <w:tr w:rsidR="00087872" w14:paraId="14FC1307"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A621202" w14:textId="77777777" w:rsidR="00087872" w:rsidRDefault="00256B13">
            <w:pPr>
              <w:widowControl w:val="0"/>
              <w:spacing w:after="0" w:line="240" w:lineRule="auto"/>
              <w:jc w:val="center"/>
              <w:rPr>
                <w:sz w:val="20"/>
                <w:szCs w:val="20"/>
                <w:lang w:eastAsia="lv-LV"/>
              </w:rPr>
            </w:pPr>
            <w:r>
              <w:rPr>
                <w:sz w:val="20"/>
                <w:szCs w:val="20"/>
                <w:lang w:eastAsia="lv-LV"/>
              </w:rPr>
              <w:t>Klientu apkalpošanas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F59863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87F656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7A62877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0F4F3DF" w14:textId="77777777" w:rsidR="00087872" w:rsidRDefault="00256B13">
            <w:pPr>
              <w:widowControl w:val="0"/>
              <w:spacing w:after="0" w:line="240" w:lineRule="auto"/>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403C78AB"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AEE1CF9"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BDA6907" w14:textId="77777777" w:rsidR="00087872" w:rsidRDefault="00256B13">
            <w:pPr>
              <w:widowControl w:val="0"/>
              <w:spacing w:after="0" w:line="240" w:lineRule="auto"/>
              <w:jc w:val="center"/>
              <w:rPr>
                <w:sz w:val="20"/>
                <w:szCs w:val="20"/>
              </w:rPr>
            </w:pPr>
            <w:r>
              <w:rPr>
                <w:sz w:val="20"/>
                <w:szCs w:val="20"/>
              </w:rPr>
              <w:t>1</w:t>
            </w:r>
          </w:p>
        </w:tc>
      </w:tr>
      <w:tr w:rsidR="00087872" w14:paraId="3CDC6364"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572B316" w14:textId="77777777" w:rsidR="00087872" w:rsidRDefault="00256B13">
            <w:pPr>
              <w:widowControl w:val="0"/>
              <w:spacing w:after="0" w:line="240" w:lineRule="auto"/>
              <w:jc w:val="center"/>
              <w:rPr>
                <w:sz w:val="20"/>
                <w:szCs w:val="20"/>
                <w:lang w:eastAsia="lv-LV"/>
              </w:rPr>
            </w:pPr>
            <w:r>
              <w:rPr>
                <w:sz w:val="20"/>
                <w:szCs w:val="20"/>
                <w:lang w:eastAsia="lv-LV"/>
              </w:rPr>
              <w:t>Koka izstrādājumu ražošanas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C4D07A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22BF93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1C03D75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691F43"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DE13472"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3A5AA7F"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58A7CA3" w14:textId="77777777" w:rsidR="00087872" w:rsidRDefault="00256B13">
            <w:pPr>
              <w:widowControl w:val="0"/>
              <w:spacing w:after="0" w:line="240" w:lineRule="auto"/>
              <w:jc w:val="center"/>
              <w:rPr>
                <w:sz w:val="20"/>
                <w:szCs w:val="20"/>
              </w:rPr>
            </w:pPr>
            <w:r>
              <w:rPr>
                <w:sz w:val="20"/>
                <w:szCs w:val="20"/>
              </w:rPr>
              <w:t>2</w:t>
            </w:r>
          </w:p>
        </w:tc>
      </w:tr>
      <w:tr w:rsidR="00087872" w14:paraId="7DC4553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DDDB590" w14:textId="77777777" w:rsidR="00087872" w:rsidRDefault="00256B13">
            <w:pPr>
              <w:widowControl w:val="0"/>
              <w:spacing w:after="0" w:line="240" w:lineRule="auto"/>
              <w:jc w:val="center"/>
              <w:rPr>
                <w:sz w:val="20"/>
                <w:szCs w:val="20"/>
                <w:lang w:eastAsia="lv-LV"/>
              </w:rPr>
            </w:pPr>
            <w:proofErr w:type="spellStart"/>
            <w:r>
              <w:rPr>
                <w:sz w:val="20"/>
                <w:szCs w:val="20"/>
                <w:lang w:eastAsia="lv-LV"/>
              </w:rPr>
              <w:t>Kokkopis</w:t>
            </w:r>
            <w:proofErr w:type="spellEnd"/>
            <w:r>
              <w:rPr>
                <w:sz w:val="20"/>
                <w:szCs w:val="20"/>
                <w:lang w:eastAsia="lv-LV"/>
              </w:rPr>
              <w:t xml:space="preserve"> (</w:t>
            </w:r>
            <w:proofErr w:type="spellStart"/>
            <w:r>
              <w:rPr>
                <w:sz w:val="20"/>
                <w:szCs w:val="20"/>
                <w:lang w:eastAsia="lv-LV"/>
              </w:rPr>
              <w:t>arborists</w:t>
            </w:r>
            <w:proofErr w:type="spellEnd"/>
            <w:r>
              <w:rPr>
                <w:sz w:val="20"/>
                <w:szCs w:val="20"/>
                <w:lang w:eastAsia="lv-LV"/>
              </w:rPr>
              <w:t>) (2)</w:t>
            </w:r>
          </w:p>
        </w:tc>
        <w:tc>
          <w:tcPr>
            <w:tcW w:w="568" w:type="dxa"/>
            <w:tcBorders>
              <w:top w:val="single" w:sz="4" w:space="0" w:color="000000"/>
              <w:left w:val="single" w:sz="4" w:space="0" w:color="000000"/>
              <w:bottom w:val="single" w:sz="4" w:space="0" w:color="000000"/>
              <w:right w:val="single" w:sz="4" w:space="0" w:color="000000"/>
            </w:tcBorders>
            <w:vAlign w:val="center"/>
          </w:tcPr>
          <w:p w14:paraId="6D8B450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2E4172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359058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9356455"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056E061"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FEAB85E" w14:textId="77777777" w:rsidR="00087872" w:rsidRDefault="00256B13">
            <w:pPr>
              <w:widowControl w:val="0"/>
              <w:spacing w:after="0" w:line="240" w:lineRule="auto"/>
              <w:jc w:val="center"/>
              <w:rPr>
                <w:sz w:val="20"/>
                <w:szCs w:val="20"/>
              </w:rPr>
            </w:pPr>
            <w:r>
              <w:rPr>
                <w:sz w:val="20"/>
                <w:szCs w:val="20"/>
              </w:rPr>
              <w:t>9</w:t>
            </w:r>
          </w:p>
        </w:tc>
        <w:tc>
          <w:tcPr>
            <w:tcW w:w="1133" w:type="dxa"/>
            <w:tcBorders>
              <w:top w:val="single" w:sz="4" w:space="0" w:color="000000"/>
              <w:left w:val="single" w:sz="4" w:space="0" w:color="000000"/>
              <w:bottom w:val="single" w:sz="4" w:space="0" w:color="000000"/>
              <w:right w:val="single" w:sz="4" w:space="0" w:color="000000"/>
            </w:tcBorders>
            <w:vAlign w:val="center"/>
          </w:tcPr>
          <w:p w14:paraId="3AAF9A6F" w14:textId="77777777" w:rsidR="00087872" w:rsidRDefault="00256B13">
            <w:pPr>
              <w:widowControl w:val="0"/>
              <w:spacing w:after="0" w:line="240" w:lineRule="auto"/>
              <w:jc w:val="center"/>
              <w:rPr>
                <w:sz w:val="20"/>
                <w:szCs w:val="20"/>
              </w:rPr>
            </w:pPr>
            <w:r>
              <w:rPr>
                <w:sz w:val="20"/>
                <w:szCs w:val="20"/>
              </w:rPr>
              <w:t>-</w:t>
            </w:r>
          </w:p>
        </w:tc>
      </w:tr>
      <w:tr w:rsidR="00087872" w14:paraId="1246D228"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005DDFE" w14:textId="77777777" w:rsidR="00087872" w:rsidRDefault="00256B13">
            <w:pPr>
              <w:widowControl w:val="0"/>
              <w:spacing w:after="0" w:line="240" w:lineRule="auto"/>
              <w:jc w:val="center"/>
              <w:rPr>
                <w:sz w:val="20"/>
                <w:szCs w:val="20"/>
                <w:lang w:eastAsia="lv-LV"/>
              </w:rPr>
            </w:pPr>
            <w:proofErr w:type="spellStart"/>
            <w:r>
              <w:rPr>
                <w:sz w:val="20"/>
                <w:szCs w:val="20"/>
                <w:lang w:eastAsia="lv-LV"/>
              </w:rPr>
              <w:t>Komerecdarbinieks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2C22505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B70BED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6F5648D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C367C22" w14:textId="77777777" w:rsidR="00087872" w:rsidRDefault="00256B13">
            <w:pPr>
              <w:widowControl w:val="0"/>
              <w:spacing w:after="0" w:line="240" w:lineRule="auto"/>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right w:val="single" w:sz="4" w:space="0" w:color="000000"/>
            </w:tcBorders>
            <w:vAlign w:val="center"/>
          </w:tcPr>
          <w:p w14:paraId="31451E90"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3B2379B" w14:textId="77777777" w:rsidR="00087872" w:rsidRDefault="00256B13">
            <w:pPr>
              <w:widowControl w:val="0"/>
              <w:spacing w:after="0" w:line="240" w:lineRule="auto"/>
              <w:jc w:val="center"/>
              <w:rPr>
                <w:sz w:val="20"/>
                <w:szCs w:val="20"/>
              </w:rPr>
            </w:pPr>
            <w:r>
              <w:rPr>
                <w:sz w:val="20"/>
                <w:szCs w:val="20"/>
              </w:rPr>
              <w:t>9</w:t>
            </w:r>
          </w:p>
        </w:tc>
        <w:tc>
          <w:tcPr>
            <w:tcW w:w="1133" w:type="dxa"/>
            <w:tcBorders>
              <w:top w:val="single" w:sz="4" w:space="0" w:color="000000"/>
              <w:left w:val="single" w:sz="4" w:space="0" w:color="000000"/>
              <w:bottom w:val="single" w:sz="4" w:space="0" w:color="000000"/>
              <w:right w:val="single" w:sz="4" w:space="0" w:color="000000"/>
            </w:tcBorders>
            <w:vAlign w:val="center"/>
          </w:tcPr>
          <w:p w14:paraId="270BFF1D" w14:textId="77777777" w:rsidR="00087872" w:rsidRDefault="00256B13">
            <w:pPr>
              <w:widowControl w:val="0"/>
              <w:spacing w:after="0" w:line="240" w:lineRule="auto"/>
              <w:jc w:val="center"/>
              <w:rPr>
                <w:sz w:val="20"/>
                <w:szCs w:val="20"/>
              </w:rPr>
            </w:pPr>
            <w:r>
              <w:rPr>
                <w:sz w:val="20"/>
                <w:szCs w:val="20"/>
              </w:rPr>
              <w:t>9</w:t>
            </w:r>
          </w:p>
        </w:tc>
      </w:tr>
      <w:tr w:rsidR="00087872" w14:paraId="369A2C1C"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1F8FB1C" w14:textId="77777777" w:rsidR="00087872" w:rsidRDefault="00256B13">
            <w:pPr>
              <w:widowControl w:val="0"/>
              <w:spacing w:after="0" w:line="240" w:lineRule="auto"/>
              <w:jc w:val="center"/>
              <w:rPr>
                <w:sz w:val="20"/>
                <w:szCs w:val="20"/>
                <w:lang w:eastAsia="lv-LV"/>
              </w:rPr>
            </w:pPr>
            <w:r>
              <w:rPr>
                <w:sz w:val="20"/>
                <w:szCs w:val="20"/>
                <w:lang w:eastAsia="lv-LV"/>
              </w:rPr>
              <w:t>Konditors (2)</w:t>
            </w:r>
          </w:p>
        </w:tc>
        <w:tc>
          <w:tcPr>
            <w:tcW w:w="568" w:type="dxa"/>
            <w:tcBorders>
              <w:top w:val="single" w:sz="4" w:space="0" w:color="000000"/>
              <w:left w:val="single" w:sz="4" w:space="0" w:color="000000"/>
              <w:bottom w:val="single" w:sz="4" w:space="0" w:color="000000"/>
              <w:right w:val="single" w:sz="4" w:space="0" w:color="000000"/>
            </w:tcBorders>
            <w:vAlign w:val="center"/>
          </w:tcPr>
          <w:p w14:paraId="07C62BF4"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5890EDC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4AFDF53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B4C1E8"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07F97FB" w14:textId="77777777" w:rsidR="00087872" w:rsidRDefault="00256B13">
            <w:pPr>
              <w:widowControl w:val="0"/>
              <w:spacing w:after="0" w:line="240" w:lineRule="auto"/>
              <w:jc w:val="center"/>
              <w:rPr>
                <w:sz w:val="20"/>
                <w:szCs w:val="20"/>
              </w:rPr>
            </w:pPr>
            <w:r>
              <w:rPr>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9F64297" w14:textId="77777777" w:rsidR="00087872" w:rsidRDefault="00256B13">
            <w:pPr>
              <w:widowControl w:val="0"/>
              <w:spacing w:after="0" w:line="240" w:lineRule="auto"/>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14:paraId="67655C7E" w14:textId="77777777" w:rsidR="00087872" w:rsidRDefault="00256B13">
            <w:pPr>
              <w:widowControl w:val="0"/>
              <w:spacing w:after="0" w:line="240" w:lineRule="auto"/>
              <w:jc w:val="center"/>
              <w:rPr>
                <w:sz w:val="20"/>
                <w:szCs w:val="20"/>
              </w:rPr>
            </w:pPr>
            <w:r>
              <w:rPr>
                <w:sz w:val="20"/>
                <w:szCs w:val="20"/>
              </w:rPr>
              <w:t>-</w:t>
            </w:r>
          </w:p>
        </w:tc>
      </w:tr>
      <w:tr w:rsidR="00087872" w14:paraId="24EBD0F0"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539AFBF2" w14:textId="77777777" w:rsidR="00087872" w:rsidRDefault="00256B13">
            <w:pPr>
              <w:widowControl w:val="0"/>
              <w:spacing w:after="0" w:line="240" w:lineRule="auto"/>
              <w:jc w:val="center"/>
              <w:rPr>
                <w:sz w:val="20"/>
                <w:szCs w:val="20"/>
                <w:lang w:eastAsia="lv-LV"/>
              </w:rPr>
            </w:pPr>
            <w:r>
              <w:rPr>
                <w:sz w:val="20"/>
                <w:szCs w:val="20"/>
                <w:lang w:eastAsia="lv-LV"/>
              </w:rPr>
              <w:t>Krāšņu un kamīnu mūrnieks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BC06194"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E6C75D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41F14B0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0D79BBD"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A7E7FD8"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1FB67AB"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4C50208" w14:textId="77777777" w:rsidR="00087872" w:rsidRDefault="00256B13">
            <w:pPr>
              <w:widowControl w:val="0"/>
              <w:spacing w:after="0" w:line="240" w:lineRule="auto"/>
              <w:jc w:val="center"/>
              <w:rPr>
                <w:sz w:val="20"/>
                <w:szCs w:val="20"/>
              </w:rPr>
            </w:pPr>
            <w:r>
              <w:rPr>
                <w:sz w:val="20"/>
                <w:szCs w:val="20"/>
              </w:rPr>
              <w:t>1</w:t>
            </w:r>
          </w:p>
        </w:tc>
      </w:tr>
      <w:tr w:rsidR="00087872" w14:paraId="607968A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5BB4D79" w14:textId="77777777" w:rsidR="00087872" w:rsidRDefault="00256B13">
            <w:pPr>
              <w:widowControl w:val="0"/>
              <w:spacing w:after="0" w:line="240" w:lineRule="auto"/>
              <w:jc w:val="center"/>
              <w:rPr>
                <w:sz w:val="20"/>
                <w:szCs w:val="20"/>
                <w:lang w:eastAsia="lv-LV"/>
              </w:rPr>
            </w:pPr>
            <w:r>
              <w:rPr>
                <w:sz w:val="20"/>
                <w:szCs w:val="20"/>
                <w:lang w:eastAsia="lv-LV"/>
              </w:rPr>
              <w:t xml:space="preserve">Lauku īpašuma </w:t>
            </w:r>
            <w:proofErr w:type="spellStart"/>
            <w:r>
              <w:rPr>
                <w:sz w:val="20"/>
                <w:szCs w:val="20"/>
                <w:lang w:eastAsia="lv-LV"/>
              </w:rPr>
              <w:t>apsaimniekotājs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7D97DCF7" w14:textId="77777777" w:rsidR="00087872" w:rsidRDefault="00256B13">
            <w:pPr>
              <w:widowControl w:val="0"/>
              <w:spacing w:after="0" w:line="240" w:lineRule="auto"/>
              <w:jc w:val="center"/>
              <w:rPr>
                <w:sz w:val="20"/>
                <w:szCs w:val="20"/>
                <w:lang w:eastAsia="lv-LV"/>
              </w:rPr>
            </w:pPr>
            <w:r>
              <w:rPr>
                <w:sz w:val="20"/>
                <w:szCs w:val="20"/>
                <w:lang w:eastAsia="lv-LV"/>
              </w:rPr>
              <w:t>42</w:t>
            </w:r>
          </w:p>
        </w:tc>
        <w:tc>
          <w:tcPr>
            <w:tcW w:w="708" w:type="dxa"/>
            <w:tcBorders>
              <w:top w:val="single" w:sz="4" w:space="0" w:color="000000"/>
              <w:left w:val="single" w:sz="4" w:space="0" w:color="000000"/>
              <w:bottom w:val="single" w:sz="4" w:space="0" w:color="000000"/>
              <w:right w:val="single" w:sz="4" w:space="0" w:color="000000"/>
            </w:tcBorders>
            <w:vAlign w:val="center"/>
          </w:tcPr>
          <w:p w14:paraId="4604F0E8" w14:textId="77777777" w:rsidR="00087872" w:rsidRDefault="00256B13">
            <w:pPr>
              <w:widowControl w:val="0"/>
              <w:spacing w:after="0" w:line="240" w:lineRule="auto"/>
              <w:jc w:val="center"/>
              <w:rPr>
                <w:sz w:val="20"/>
                <w:szCs w:val="20"/>
                <w:lang w:eastAsia="lv-LV"/>
              </w:rPr>
            </w:pPr>
            <w:r>
              <w:rPr>
                <w:sz w:val="20"/>
                <w:szCs w:val="20"/>
                <w:lang w:eastAsia="lv-LV"/>
              </w:rPr>
              <w:t>24</w:t>
            </w:r>
          </w:p>
        </w:tc>
        <w:tc>
          <w:tcPr>
            <w:tcW w:w="712" w:type="dxa"/>
            <w:tcBorders>
              <w:top w:val="single" w:sz="4" w:space="0" w:color="000000"/>
              <w:left w:val="single" w:sz="4" w:space="0" w:color="000000"/>
              <w:bottom w:val="single" w:sz="4" w:space="0" w:color="000000"/>
              <w:right w:val="single" w:sz="4" w:space="0" w:color="000000"/>
            </w:tcBorders>
            <w:vAlign w:val="center"/>
          </w:tcPr>
          <w:p w14:paraId="469AD3D1" w14:textId="77777777" w:rsidR="00087872" w:rsidRDefault="00256B13">
            <w:pPr>
              <w:widowControl w:val="0"/>
              <w:spacing w:after="0" w:line="240" w:lineRule="auto"/>
              <w:jc w:val="center"/>
              <w:rPr>
                <w:sz w:val="20"/>
                <w:szCs w:val="20"/>
                <w:lang w:eastAsia="lv-LV"/>
              </w:rPr>
            </w:pPr>
            <w:r>
              <w:rPr>
                <w:sz w:val="20"/>
                <w:szCs w:val="20"/>
                <w:lang w:eastAsia="lv-LV"/>
              </w:rPr>
              <w:t>16</w:t>
            </w:r>
          </w:p>
        </w:tc>
        <w:tc>
          <w:tcPr>
            <w:tcW w:w="708" w:type="dxa"/>
            <w:tcBorders>
              <w:top w:val="single" w:sz="4" w:space="0" w:color="000000"/>
              <w:left w:val="single" w:sz="4" w:space="0" w:color="000000"/>
              <w:bottom w:val="single" w:sz="4" w:space="0" w:color="000000"/>
              <w:right w:val="single" w:sz="4" w:space="0" w:color="000000"/>
            </w:tcBorders>
            <w:vAlign w:val="center"/>
          </w:tcPr>
          <w:p w14:paraId="3CBCC31B" w14:textId="77777777" w:rsidR="00087872" w:rsidRDefault="00256B13">
            <w:pPr>
              <w:widowControl w:val="0"/>
              <w:spacing w:after="0" w:line="240" w:lineRule="auto"/>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right w:val="single" w:sz="4" w:space="0" w:color="000000"/>
            </w:tcBorders>
            <w:vAlign w:val="center"/>
          </w:tcPr>
          <w:p w14:paraId="3095B5E8"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A70499D"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0C4FF0D" w14:textId="77777777" w:rsidR="00087872" w:rsidRDefault="00256B13">
            <w:pPr>
              <w:widowControl w:val="0"/>
              <w:spacing w:after="0" w:line="240" w:lineRule="auto"/>
              <w:jc w:val="center"/>
              <w:rPr>
                <w:sz w:val="20"/>
                <w:szCs w:val="20"/>
              </w:rPr>
            </w:pPr>
            <w:r>
              <w:rPr>
                <w:sz w:val="20"/>
                <w:szCs w:val="20"/>
              </w:rPr>
              <w:t>-</w:t>
            </w:r>
          </w:p>
        </w:tc>
      </w:tr>
      <w:tr w:rsidR="00087872" w14:paraId="07D9D241"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CB144E2" w14:textId="77777777" w:rsidR="00087872" w:rsidRDefault="00256B13">
            <w:pPr>
              <w:widowControl w:val="0"/>
              <w:spacing w:after="0" w:line="240" w:lineRule="auto"/>
              <w:jc w:val="center"/>
              <w:rPr>
                <w:sz w:val="20"/>
                <w:szCs w:val="20"/>
                <w:lang w:eastAsia="lv-LV"/>
              </w:rPr>
            </w:pPr>
            <w:r>
              <w:rPr>
                <w:sz w:val="20"/>
                <w:szCs w:val="20"/>
                <w:lang w:eastAsia="lv-LV"/>
              </w:rPr>
              <w:t>Lietvedis (2)</w:t>
            </w:r>
          </w:p>
        </w:tc>
        <w:tc>
          <w:tcPr>
            <w:tcW w:w="568" w:type="dxa"/>
            <w:tcBorders>
              <w:top w:val="single" w:sz="4" w:space="0" w:color="000000"/>
              <w:left w:val="single" w:sz="4" w:space="0" w:color="000000"/>
              <w:bottom w:val="single" w:sz="4" w:space="0" w:color="000000"/>
              <w:right w:val="single" w:sz="4" w:space="0" w:color="000000"/>
            </w:tcBorders>
            <w:vAlign w:val="center"/>
          </w:tcPr>
          <w:p w14:paraId="27AC66F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F816C3" w14:textId="77777777" w:rsidR="00087872" w:rsidRDefault="00256B13">
            <w:pPr>
              <w:widowControl w:val="0"/>
              <w:spacing w:after="0" w:line="240" w:lineRule="auto"/>
              <w:jc w:val="center"/>
              <w:rPr>
                <w:sz w:val="20"/>
                <w:szCs w:val="20"/>
                <w:lang w:eastAsia="lv-LV"/>
              </w:rPr>
            </w:pPr>
            <w:r>
              <w:rPr>
                <w:sz w:val="20"/>
                <w:szCs w:val="20"/>
                <w:lang w:eastAsia="lv-LV"/>
              </w:rPr>
              <w:t>12</w:t>
            </w:r>
          </w:p>
        </w:tc>
        <w:tc>
          <w:tcPr>
            <w:tcW w:w="712" w:type="dxa"/>
            <w:tcBorders>
              <w:top w:val="single" w:sz="4" w:space="0" w:color="000000"/>
              <w:left w:val="single" w:sz="4" w:space="0" w:color="000000"/>
              <w:bottom w:val="single" w:sz="4" w:space="0" w:color="000000"/>
              <w:right w:val="single" w:sz="4" w:space="0" w:color="000000"/>
            </w:tcBorders>
            <w:vAlign w:val="center"/>
          </w:tcPr>
          <w:p w14:paraId="178DED51"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3AD5F1ED"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CAEDF19"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BB19F4C"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0838D897" w14:textId="77777777" w:rsidR="00087872" w:rsidRDefault="00256B13">
            <w:pPr>
              <w:widowControl w:val="0"/>
              <w:spacing w:after="0" w:line="240" w:lineRule="auto"/>
              <w:jc w:val="center"/>
              <w:rPr>
                <w:sz w:val="20"/>
                <w:szCs w:val="20"/>
              </w:rPr>
            </w:pPr>
            <w:r>
              <w:rPr>
                <w:sz w:val="20"/>
                <w:szCs w:val="20"/>
              </w:rPr>
              <w:t>1</w:t>
            </w:r>
          </w:p>
        </w:tc>
      </w:tr>
      <w:tr w:rsidR="00087872" w14:paraId="226AEEA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A63C055" w14:textId="77777777" w:rsidR="00087872" w:rsidRDefault="00256B13">
            <w:pPr>
              <w:widowControl w:val="0"/>
              <w:spacing w:after="0" w:line="240" w:lineRule="auto"/>
              <w:jc w:val="center"/>
              <w:rPr>
                <w:sz w:val="20"/>
                <w:szCs w:val="20"/>
                <w:lang w:eastAsia="lv-LV"/>
              </w:rPr>
            </w:pPr>
            <w:r>
              <w:rPr>
                <w:sz w:val="20"/>
                <w:szCs w:val="20"/>
                <w:lang w:eastAsia="lv-LV"/>
              </w:rPr>
              <w:t>Loģistikas darbinieks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FD669F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AC6148"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631CC951"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264112C"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3F3C2A4" w14:textId="77777777" w:rsidR="00087872" w:rsidRDefault="00256B13">
            <w:pPr>
              <w:widowControl w:val="0"/>
              <w:spacing w:after="0" w:line="240" w:lineRule="auto"/>
              <w:jc w:val="center"/>
              <w:rPr>
                <w:sz w:val="20"/>
                <w:szCs w:val="20"/>
              </w:rPr>
            </w:pPr>
            <w:r>
              <w:rPr>
                <w:sz w:val="20"/>
                <w:szCs w:val="20"/>
              </w:rPr>
              <w:t>9</w:t>
            </w:r>
          </w:p>
        </w:tc>
        <w:tc>
          <w:tcPr>
            <w:tcW w:w="851" w:type="dxa"/>
            <w:tcBorders>
              <w:top w:val="single" w:sz="4" w:space="0" w:color="000000"/>
              <w:left w:val="single" w:sz="4" w:space="0" w:color="000000"/>
              <w:bottom w:val="single" w:sz="4" w:space="0" w:color="000000"/>
              <w:right w:val="single" w:sz="4" w:space="0" w:color="000000"/>
            </w:tcBorders>
            <w:vAlign w:val="center"/>
          </w:tcPr>
          <w:p w14:paraId="297ED882" w14:textId="77777777" w:rsidR="00087872" w:rsidRDefault="00256B13">
            <w:pPr>
              <w:widowControl w:val="0"/>
              <w:spacing w:after="0" w:line="240" w:lineRule="auto"/>
              <w:jc w:val="center"/>
              <w:rPr>
                <w:sz w:val="20"/>
                <w:szCs w:val="20"/>
              </w:rPr>
            </w:pPr>
            <w:r>
              <w:rPr>
                <w:sz w:val="20"/>
                <w:szCs w:val="20"/>
              </w:rPr>
              <w:t>5</w:t>
            </w:r>
          </w:p>
        </w:tc>
        <w:tc>
          <w:tcPr>
            <w:tcW w:w="1133" w:type="dxa"/>
            <w:tcBorders>
              <w:top w:val="single" w:sz="4" w:space="0" w:color="000000"/>
              <w:left w:val="single" w:sz="4" w:space="0" w:color="000000"/>
              <w:bottom w:val="single" w:sz="4" w:space="0" w:color="000000"/>
              <w:right w:val="single" w:sz="4" w:space="0" w:color="000000"/>
            </w:tcBorders>
            <w:vAlign w:val="center"/>
          </w:tcPr>
          <w:p w14:paraId="0244BF48" w14:textId="77777777" w:rsidR="00087872" w:rsidRDefault="00256B13">
            <w:pPr>
              <w:widowControl w:val="0"/>
              <w:spacing w:after="0" w:line="240" w:lineRule="auto"/>
              <w:jc w:val="center"/>
              <w:rPr>
                <w:sz w:val="20"/>
                <w:szCs w:val="20"/>
              </w:rPr>
            </w:pPr>
            <w:r>
              <w:rPr>
                <w:sz w:val="20"/>
                <w:szCs w:val="20"/>
              </w:rPr>
              <w:t>1</w:t>
            </w:r>
          </w:p>
        </w:tc>
      </w:tr>
      <w:tr w:rsidR="00087872" w14:paraId="5493B03A"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B520057" w14:textId="77777777" w:rsidR="00087872" w:rsidRDefault="00256B13">
            <w:pPr>
              <w:widowControl w:val="0"/>
              <w:spacing w:after="0" w:line="240" w:lineRule="auto"/>
              <w:jc w:val="center"/>
              <w:rPr>
                <w:sz w:val="20"/>
                <w:szCs w:val="20"/>
                <w:lang w:eastAsia="lv-LV"/>
              </w:rPr>
            </w:pPr>
            <w:r>
              <w:rPr>
                <w:sz w:val="20"/>
                <w:szCs w:val="20"/>
                <w:lang w:eastAsia="lv-LV"/>
              </w:rPr>
              <w:t>Lokomotīvju saimniecības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3E3F6A1" w14:textId="77777777" w:rsidR="00087872" w:rsidRDefault="00256B13">
            <w:pPr>
              <w:widowControl w:val="0"/>
              <w:spacing w:after="0" w:line="240" w:lineRule="auto"/>
              <w:jc w:val="center"/>
              <w:rPr>
                <w:sz w:val="20"/>
                <w:szCs w:val="20"/>
                <w:lang w:eastAsia="lv-LV"/>
              </w:rPr>
            </w:pPr>
            <w:r>
              <w:rPr>
                <w:sz w:val="20"/>
                <w:szCs w:val="20"/>
                <w:lang w:eastAsia="lv-LV"/>
              </w:rPr>
              <w:t>21</w:t>
            </w:r>
          </w:p>
        </w:tc>
        <w:tc>
          <w:tcPr>
            <w:tcW w:w="708" w:type="dxa"/>
            <w:tcBorders>
              <w:top w:val="single" w:sz="4" w:space="0" w:color="000000"/>
              <w:left w:val="single" w:sz="4" w:space="0" w:color="000000"/>
              <w:bottom w:val="single" w:sz="4" w:space="0" w:color="000000"/>
              <w:right w:val="single" w:sz="4" w:space="0" w:color="000000"/>
            </w:tcBorders>
            <w:vAlign w:val="center"/>
          </w:tcPr>
          <w:p w14:paraId="2B793D0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65280F43"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CDE5AA0" w14:textId="77777777" w:rsidR="00087872" w:rsidRDefault="00256B13">
            <w:pPr>
              <w:widowControl w:val="0"/>
              <w:spacing w:after="0" w:line="240" w:lineRule="auto"/>
              <w:jc w:val="center"/>
              <w:rPr>
                <w:sz w:val="20"/>
                <w:szCs w:val="20"/>
              </w:rPr>
            </w:pPr>
            <w:r>
              <w:rPr>
                <w:sz w:val="20"/>
                <w:szCs w:val="20"/>
              </w:rPr>
              <w:t>16</w:t>
            </w:r>
          </w:p>
        </w:tc>
        <w:tc>
          <w:tcPr>
            <w:tcW w:w="707" w:type="dxa"/>
            <w:tcBorders>
              <w:top w:val="single" w:sz="4" w:space="0" w:color="000000"/>
              <w:left w:val="single" w:sz="4" w:space="0" w:color="000000"/>
              <w:bottom w:val="single" w:sz="4" w:space="0" w:color="000000"/>
              <w:right w:val="single" w:sz="4" w:space="0" w:color="000000"/>
            </w:tcBorders>
            <w:vAlign w:val="center"/>
          </w:tcPr>
          <w:p w14:paraId="09478B70"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8BCFCF7"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254148D4" w14:textId="77777777" w:rsidR="00087872" w:rsidRDefault="00256B13">
            <w:pPr>
              <w:widowControl w:val="0"/>
              <w:spacing w:after="0" w:line="240" w:lineRule="auto"/>
              <w:jc w:val="center"/>
              <w:rPr>
                <w:sz w:val="20"/>
                <w:szCs w:val="20"/>
              </w:rPr>
            </w:pPr>
            <w:r>
              <w:rPr>
                <w:sz w:val="20"/>
                <w:szCs w:val="20"/>
              </w:rPr>
              <w:t>-</w:t>
            </w:r>
          </w:p>
        </w:tc>
      </w:tr>
      <w:tr w:rsidR="00087872" w14:paraId="5DB63E0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0DC784A" w14:textId="77777777" w:rsidR="00087872" w:rsidRDefault="00256B13">
            <w:pPr>
              <w:widowControl w:val="0"/>
              <w:spacing w:after="0" w:line="240" w:lineRule="auto"/>
              <w:jc w:val="center"/>
              <w:rPr>
                <w:sz w:val="20"/>
                <w:szCs w:val="20"/>
                <w:lang w:eastAsia="lv-LV"/>
              </w:rPr>
            </w:pPr>
            <w:r>
              <w:rPr>
                <w:sz w:val="20"/>
                <w:szCs w:val="20"/>
                <w:lang w:eastAsia="lv-LV"/>
              </w:rPr>
              <w:t>Lopkopības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4FF72D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6E598A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211DB30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6AF402"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11FB4FD"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86F1398" w14:textId="77777777" w:rsidR="00087872" w:rsidRDefault="00256B13">
            <w:pPr>
              <w:widowControl w:val="0"/>
              <w:spacing w:after="0" w:line="240" w:lineRule="auto"/>
              <w:jc w:val="center"/>
              <w:rPr>
                <w:sz w:val="20"/>
                <w:szCs w:val="20"/>
              </w:rPr>
            </w:pPr>
            <w:r>
              <w:rPr>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384F8536" w14:textId="77777777" w:rsidR="00087872" w:rsidRDefault="00256B13">
            <w:pPr>
              <w:widowControl w:val="0"/>
              <w:spacing w:after="0" w:line="240" w:lineRule="auto"/>
              <w:jc w:val="center"/>
              <w:rPr>
                <w:sz w:val="20"/>
                <w:szCs w:val="20"/>
              </w:rPr>
            </w:pPr>
            <w:r>
              <w:rPr>
                <w:sz w:val="20"/>
                <w:szCs w:val="20"/>
              </w:rPr>
              <w:t>-</w:t>
            </w:r>
          </w:p>
        </w:tc>
      </w:tr>
      <w:tr w:rsidR="00087872" w14:paraId="6C1762BC"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376BBCF" w14:textId="77777777" w:rsidR="00087872" w:rsidRDefault="00256B13">
            <w:pPr>
              <w:widowControl w:val="0"/>
              <w:spacing w:after="0" w:line="240" w:lineRule="auto"/>
              <w:jc w:val="center"/>
              <w:rPr>
                <w:sz w:val="20"/>
                <w:szCs w:val="20"/>
                <w:lang w:eastAsia="lv-LV"/>
              </w:rPr>
            </w:pPr>
            <w:r>
              <w:rPr>
                <w:sz w:val="20"/>
                <w:szCs w:val="20"/>
                <w:lang w:eastAsia="lv-LV"/>
              </w:rPr>
              <w:t>Manikīra un pedikīra speciālists (2)</w:t>
            </w:r>
          </w:p>
        </w:tc>
        <w:tc>
          <w:tcPr>
            <w:tcW w:w="568" w:type="dxa"/>
            <w:tcBorders>
              <w:top w:val="single" w:sz="4" w:space="0" w:color="000000"/>
              <w:left w:val="single" w:sz="4" w:space="0" w:color="000000"/>
              <w:bottom w:val="single" w:sz="4" w:space="0" w:color="000000"/>
              <w:right w:val="single" w:sz="4" w:space="0" w:color="000000"/>
            </w:tcBorders>
            <w:vAlign w:val="center"/>
          </w:tcPr>
          <w:p w14:paraId="6D0FB430" w14:textId="77777777" w:rsidR="00087872" w:rsidRDefault="00256B13">
            <w:pPr>
              <w:widowControl w:val="0"/>
              <w:spacing w:after="0" w:line="240" w:lineRule="auto"/>
              <w:jc w:val="center"/>
              <w:rPr>
                <w:sz w:val="20"/>
                <w:szCs w:val="20"/>
                <w:lang w:eastAsia="lv-LV"/>
              </w:rPr>
            </w:pPr>
            <w:r>
              <w:rPr>
                <w:sz w:val="20"/>
                <w:szCs w:val="20"/>
                <w:lang w:eastAsia="lv-LV"/>
              </w:rPr>
              <w:t>25</w:t>
            </w:r>
          </w:p>
        </w:tc>
        <w:tc>
          <w:tcPr>
            <w:tcW w:w="708" w:type="dxa"/>
            <w:tcBorders>
              <w:top w:val="single" w:sz="4" w:space="0" w:color="000000"/>
              <w:left w:val="single" w:sz="4" w:space="0" w:color="000000"/>
              <w:bottom w:val="single" w:sz="4" w:space="0" w:color="000000"/>
              <w:right w:val="single" w:sz="4" w:space="0" w:color="000000"/>
            </w:tcBorders>
            <w:vAlign w:val="center"/>
          </w:tcPr>
          <w:p w14:paraId="0E8073ED" w14:textId="77777777" w:rsidR="00087872" w:rsidRDefault="00256B13">
            <w:pPr>
              <w:widowControl w:val="0"/>
              <w:spacing w:after="0" w:line="240" w:lineRule="auto"/>
              <w:jc w:val="center"/>
              <w:rPr>
                <w:sz w:val="20"/>
                <w:szCs w:val="20"/>
                <w:lang w:eastAsia="lv-LV"/>
              </w:rPr>
            </w:pPr>
            <w:r>
              <w:rPr>
                <w:sz w:val="20"/>
                <w:szCs w:val="20"/>
                <w:lang w:eastAsia="lv-LV"/>
              </w:rPr>
              <w:t>10</w:t>
            </w:r>
          </w:p>
        </w:tc>
        <w:tc>
          <w:tcPr>
            <w:tcW w:w="712" w:type="dxa"/>
            <w:tcBorders>
              <w:top w:val="single" w:sz="4" w:space="0" w:color="000000"/>
              <w:left w:val="single" w:sz="4" w:space="0" w:color="000000"/>
              <w:bottom w:val="single" w:sz="4" w:space="0" w:color="000000"/>
              <w:right w:val="single" w:sz="4" w:space="0" w:color="000000"/>
            </w:tcBorders>
            <w:vAlign w:val="center"/>
          </w:tcPr>
          <w:p w14:paraId="70EC0085"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28DCDBB7"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BE5B673"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69531BD"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4A2294D" w14:textId="77777777" w:rsidR="00087872" w:rsidRDefault="00256B13">
            <w:pPr>
              <w:widowControl w:val="0"/>
              <w:spacing w:after="0" w:line="240" w:lineRule="auto"/>
              <w:jc w:val="center"/>
              <w:rPr>
                <w:sz w:val="20"/>
                <w:szCs w:val="20"/>
              </w:rPr>
            </w:pPr>
            <w:r>
              <w:rPr>
                <w:sz w:val="20"/>
                <w:szCs w:val="20"/>
              </w:rPr>
              <w:t>-</w:t>
            </w:r>
          </w:p>
        </w:tc>
      </w:tr>
      <w:tr w:rsidR="00087872" w14:paraId="4CBABEB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5833B87D" w14:textId="77777777" w:rsidR="00087872" w:rsidRDefault="00256B13">
            <w:pPr>
              <w:widowControl w:val="0"/>
              <w:spacing w:after="0" w:line="240" w:lineRule="auto"/>
              <w:jc w:val="center"/>
              <w:rPr>
                <w:sz w:val="20"/>
                <w:szCs w:val="20"/>
                <w:lang w:eastAsia="lv-LV"/>
              </w:rPr>
            </w:pPr>
            <w:r>
              <w:rPr>
                <w:sz w:val="20"/>
                <w:szCs w:val="20"/>
                <w:lang w:eastAsia="lv-LV"/>
              </w:rPr>
              <w:t xml:space="preserve">Mazumtirdzniecības </w:t>
            </w:r>
            <w:proofErr w:type="spellStart"/>
            <w:r>
              <w:rPr>
                <w:sz w:val="20"/>
                <w:szCs w:val="20"/>
                <w:lang w:eastAsia="lv-LV"/>
              </w:rPr>
              <w:t>komercdarbinieks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5339665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C188DD2"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12" w:type="dxa"/>
            <w:tcBorders>
              <w:top w:val="single" w:sz="4" w:space="0" w:color="000000"/>
              <w:left w:val="single" w:sz="4" w:space="0" w:color="000000"/>
              <w:bottom w:val="single" w:sz="4" w:space="0" w:color="000000"/>
              <w:right w:val="single" w:sz="4" w:space="0" w:color="000000"/>
            </w:tcBorders>
            <w:vAlign w:val="center"/>
          </w:tcPr>
          <w:p w14:paraId="3505862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FF98B32"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35DDA01"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2810DDD"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7BFDA548" w14:textId="77777777" w:rsidR="00087872" w:rsidRDefault="00256B13">
            <w:pPr>
              <w:widowControl w:val="0"/>
              <w:spacing w:after="0" w:line="240" w:lineRule="auto"/>
              <w:jc w:val="center"/>
              <w:rPr>
                <w:sz w:val="20"/>
                <w:szCs w:val="20"/>
              </w:rPr>
            </w:pPr>
            <w:r>
              <w:rPr>
                <w:sz w:val="20"/>
                <w:szCs w:val="20"/>
              </w:rPr>
              <w:t>-</w:t>
            </w:r>
          </w:p>
        </w:tc>
      </w:tr>
      <w:tr w:rsidR="00087872" w14:paraId="3CAE35C6"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333E446" w14:textId="77777777" w:rsidR="00087872" w:rsidRDefault="00256B13">
            <w:pPr>
              <w:widowControl w:val="0"/>
              <w:spacing w:after="0" w:line="240" w:lineRule="auto"/>
              <w:jc w:val="center"/>
              <w:rPr>
                <w:sz w:val="20"/>
                <w:szCs w:val="20"/>
                <w:lang w:eastAsia="lv-LV"/>
              </w:rPr>
            </w:pPr>
            <w:r>
              <w:rPr>
                <w:sz w:val="20"/>
                <w:szCs w:val="20"/>
                <w:lang w:eastAsia="lv-LV"/>
              </w:rPr>
              <w:t>Mašīnbūves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8C93130"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970DD8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49EF2469" w14:textId="77777777" w:rsidR="00087872" w:rsidRDefault="00256B13">
            <w:pPr>
              <w:widowControl w:val="0"/>
              <w:spacing w:after="0" w:line="240" w:lineRule="auto"/>
              <w:jc w:val="center"/>
              <w:rPr>
                <w:sz w:val="20"/>
                <w:szCs w:val="20"/>
                <w:lang w:eastAsia="lv-LV"/>
              </w:rPr>
            </w:pPr>
            <w:r>
              <w:rPr>
                <w:sz w:val="20"/>
                <w:szCs w:val="20"/>
                <w:lang w:eastAsia="lv-LV"/>
              </w:rPr>
              <w:t>9</w:t>
            </w:r>
          </w:p>
        </w:tc>
        <w:tc>
          <w:tcPr>
            <w:tcW w:w="708" w:type="dxa"/>
            <w:tcBorders>
              <w:top w:val="single" w:sz="4" w:space="0" w:color="000000"/>
              <w:left w:val="single" w:sz="4" w:space="0" w:color="000000"/>
              <w:bottom w:val="single" w:sz="4" w:space="0" w:color="000000"/>
              <w:right w:val="single" w:sz="4" w:space="0" w:color="000000"/>
            </w:tcBorders>
            <w:vAlign w:val="center"/>
          </w:tcPr>
          <w:p w14:paraId="7654BBF7" w14:textId="77777777" w:rsidR="00087872" w:rsidRDefault="00256B13">
            <w:pPr>
              <w:widowControl w:val="0"/>
              <w:spacing w:after="0" w:line="240" w:lineRule="auto"/>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2BBBDB2F"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0D455A4" w14:textId="77777777" w:rsidR="00087872" w:rsidRDefault="00256B13">
            <w:pPr>
              <w:widowControl w:val="0"/>
              <w:spacing w:after="0" w:line="240" w:lineRule="auto"/>
              <w:jc w:val="center"/>
              <w:rPr>
                <w:sz w:val="20"/>
                <w:szCs w:val="20"/>
              </w:rPr>
            </w:pPr>
            <w:r>
              <w:rPr>
                <w:sz w:val="20"/>
                <w:szCs w:val="20"/>
              </w:rPr>
              <w:t>4</w:t>
            </w:r>
          </w:p>
        </w:tc>
        <w:tc>
          <w:tcPr>
            <w:tcW w:w="1133" w:type="dxa"/>
            <w:tcBorders>
              <w:top w:val="single" w:sz="4" w:space="0" w:color="000000"/>
              <w:left w:val="single" w:sz="4" w:space="0" w:color="000000"/>
              <w:bottom w:val="single" w:sz="4" w:space="0" w:color="000000"/>
              <w:right w:val="single" w:sz="4" w:space="0" w:color="000000"/>
            </w:tcBorders>
            <w:vAlign w:val="center"/>
          </w:tcPr>
          <w:p w14:paraId="4CE65DED" w14:textId="77777777" w:rsidR="00087872" w:rsidRDefault="00256B13">
            <w:pPr>
              <w:widowControl w:val="0"/>
              <w:spacing w:after="0" w:line="240" w:lineRule="auto"/>
              <w:jc w:val="center"/>
              <w:rPr>
                <w:sz w:val="20"/>
                <w:szCs w:val="20"/>
              </w:rPr>
            </w:pPr>
            <w:r>
              <w:rPr>
                <w:sz w:val="20"/>
                <w:szCs w:val="20"/>
              </w:rPr>
              <w:t>-</w:t>
            </w:r>
          </w:p>
        </w:tc>
      </w:tr>
      <w:tr w:rsidR="00087872" w14:paraId="15383A46"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251BD42" w14:textId="77777777" w:rsidR="00087872" w:rsidRDefault="00256B13">
            <w:pPr>
              <w:widowControl w:val="0"/>
              <w:spacing w:after="0" w:line="240" w:lineRule="auto"/>
              <w:jc w:val="center"/>
              <w:rPr>
                <w:sz w:val="20"/>
                <w:szCs w:val="20"/>
                <w:lang w:eastAsia="lv-LV"/>
              </w:rPr>
            </w:pPr>
            <w:r>
              <w:rPr>
                <w:sz w:val="20"/>
                <w:szCs w:val="20"/>
                <w:lang w:eastAsia="lv-LV"/>
              </w:rPr>
              <w:t>Materiālu dizaina speciālists (Āda) (3)</w:t>
            </w:r>
          </w:p>
        </w:tc>
        <w:tc>
          <w:tcPr>
            <w:tcW w:w="568" w:type="dxa"/>
            <w:tcBorders>
              <w:top w:val="single" w:sz="4" w:space="0" w:color="000000"/>
              <w:left w:val="single" w:sz="4" w:space="0" w:color="000000"/>
              <w:bottom w:val="single" w:sz="4" w:space="0" w:color="000000"/>
              <w:right w:val="single" w:sz="4" w:space="0" w:color="000000"/>
            </w:tcBorders>
            <w:vAlign w:val="center"/>
          </w:tcPr>
          <w:p w14:paraId="14D635A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8D5866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329352B3"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8D878F7"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3A570B4"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CE15C1D"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C97C39C" w14:textId="77777777" w:rsidR="00087872" w:rsidRDefault="00256B13">
            <w:pPr>
              <w:widowControl w:val="0"/>
              <w:spacing w:after="0" w:line="240" w:lineRule="auto"/>
              <w:jc w:val="center"/>
              <w:rPr>
                <w:sz w:val="20"/>
                <w:szCs w:val="20"/>
              </w:rPr>
            </w:pPr>
            <w:r>
              <w:rPr>
                <w:sz w:val="20"/>
                <w:szCs w:val="20"/>
              </w:rPr>
              <w:t>-</w:t>
            </w:r>
          </w:p>
        </w:tc>
      </w:tr>
      <w:tr w:rsidR="00087872" w14:paraId="2E351210"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92059FC" w14:textId="77777777" w:rsidR="00087872" w:rsidRDefault="00256B13">
            <w:pPr>
              <w:widowControl w:val="0"/>
              <w:spacing w:after="0" w:line="240" w:lineRule="auto"/>
              <w:jc w:val="center"/>
              <w:rPr>
                <w:sz w:val="20"/>
                <w:szCs w:val="20"/>
                <w:lang w:eastAsia="lv-LV"/>
              </w:rPr>
            </w:pPr>
            <w:r>
              <w:rPr>
                <w:sz w:val="20"/>
                <w:szCs w:val="20"/>
                <w:lang w:eastAsia="lv-LV"/>
              </w:rPr>
              <w:t>Materiālu dizaina speciālists (Koks) (3)</w:t>
            </w:r>
          </w:p>
        </w:tc>
        <w:tc>
          <w:tcPr>
            <w:tcW w:w="568" w:type="dxa"/>
            <w:tcBorders>
              <w:top w:val="single" w:sz="4" w:space="0" w:color="000000"/>
              <w:left w:val="single" w:sz="4" w:space="0" w:color="000000"/>
              <w:bottom w:val="single" w:sz="4" w:space="0" w:color="000000"/>
              <w:right w:val="single" w:sz="4" w:space="0" w:color="000000"/>
            </w:tcBorders>
            <w:vAlign w:val="center"/>
          </w:tcPr>
          <w:p w14:paraId="5928E81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5DC35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51C489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1963C1"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E14C4F9"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DD5407A"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19174EC1" w14:textId="77777777" w:rsidR="00087872" w:rsidRDefault="00256B13">
            <w:pPr>
              <w:widowControl w:val="0"/>
              <w:spacing w:after="0" w:line="240" w:lineRule="auto"/>
              <w:jc w:val="center"/>
              <w:rPr>
                <w:sz w:val="20"/>
                <w:szCs w:val="20"/>
              </w:rPr>
            </w:pPr>
            <w:r>
              <w:rPr>
                <w:sz w:val="20"/>
                <w:szCs w:val="20"/>
              </w:rPr>
              <w:t>-</w:t>
            </w:r>
          </w:p>
        </w:tc>
      </w:tr>
      <w:tr w:rsidR="00087872" w14:paraId="3C509A50"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502C262" w14:textId="77777777" w:rsidR="00087872" w:rsidRDefault="00256B13">
            <w:pPr>
              <w:widowControl w:val="0"/>
              <w:spacing w:after="0" w:line="240" w:lineRule="auto"/>
              <w:jc w:val="center"/>
              <w:rPr>
                <w:sz w:val="20"/>
                <w:szCs w:val="20"/>
                <w:lang w:eastAsia="lv-LV"/>
              </w:rPr>
            </w:pPr>
            <w:proofErr w:type="spellStart"/>
            <w:r>
              <w:rPr>
                <w:sz w:val="20"/>
                <w:szCs w:val="20"/>
                <w:lang w:eastAsia="lv-LV"/>
              </w:rPr>
              <w:t>Mehatronisku</w:t>
            </w:r>
            <w:proofErr w:type="spellEnd"/>
            <w:r>
              <w:rPr>
                <w:sz w:val="20"/>
                <w:szCs w:val="20"/>
                <w:lang w:eastAsia="lv-LV"/>
              </w:rPr>
              <w:t xml:space="preserve"> sistēmu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5E809E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1D00C9B"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12" w:type="dxa"/>
            <w:tcBorders>
              <w:top w:val="single" w:sz="4" w:space="0" w:color="000000"/>
              <w:left w:val="single" w:sz="4" w:space="0" w:color="000000"/>
              <w:bottom w:val="single" w:sz="4" w:space="0" w:color="000000"/>
              <w:right w:val="single" w:sz="4" w:space="0" w:color="000000"/>
            </w:tcBorders>
            <w:vAlign w:val="center"/>
          </w:tcPr>
          <w:p w14:paraId="2580403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42B863F"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4CA05B0"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54912D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F65B7FF" w14:textId="77777777" w:rsidR="00087872" w:rsidRDefault="00256B13">
            <w:pPr>
              <w:widowControl w:val="0"/>
              <w:spacing w:after="0" w:line="240" w:lineRule="auto"/>
              <w:jc w:val="center"/>
              <w:rPr>
                <w:sz w:val="20"/>
                <w:szCs w:val="20"/>
              </w:rPr>
            </w:pPr>
            <w:r>
              <w:rPr>
                <w:sz w:val="20"/>
                <w:szCs w:val="20"/>
              </w:rPr>
              <w:t>-</w:t>
            </w:r>
          </w:p>
        </w:tc>
      </w:tr>
      <w:tr w:rsidR="00087872" w14:paraId="2D86C1F8"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B3CBF62" w14:textId="77777777" w:rsidR="00087872" w:rsidRDefault="00256B13">
            <w:pPr>
              <w:widowControl w:val="0"/>
              <w:spacing w:after="0" w:line="240" w:lineRule="auto"/>
              <w:jc w:val="center"/>
              <w:rPr>
                <w:sz w:val="20"/>
                <w:szCs w:val="20"/>
                <w:lang w:eastAsia="lv-LV"/>
              </w:rPr>
            </w:pPr>
            <w:r>
              <w:rPr>
                <w:sz w:val="20"/>
                <w:szCs w:val="20"/>
                <w:lang w:eastAsia="lv-LV"/>
              </w:rPr>
              <w:t xml:space="preserve">Metinātāji – </w:t>
            </w:r>
            <w:proofErr w:type="spellStart"/>
            <w:r>
              <w:rPr>
                <w:sz w:val="20"/>
                <w:szCs w:val="20"/>
                <w:lang w:eastAsia="lv-LV"/>
              </w:rPr>
              <w:t>gāzmetinātājs</w:t>
            </w:r>
            <w:proofErr w:type="spellEnd"/>
            <w:r>
              <w:rPr>
                <w:sz w:val="20"/>
                <w:szCs w:val="20"/>
                <w:lang w:eastAsia="lv-LV"/>
              </w:rPr>
              <w:t xml:space="preserve">, </w:t>
            </w:r>
            <w:bookmarkStart w:id="57" w:name="_Hlk137461798"/>
            <w:r>
              <w:rPr>
                <w:sz w:val="20"/>
                <w:szCs w:val="20"/>
                <w:lang w:eastAsia="lv-LV"/>
              </w:rPr>
              <w:t>MMA, MAG, MIG, TIG</w:t>
            </w:r>
            <w:bookmarkEnd w:id="57"/>
            <w:r>
              <w:rPr>
                <w:sz w:val="20"/>
                <w:szCs w:val="20"/>
                <w:lang w:eastAsia="lv-LV"/>
              </w:rPr>
              <w:t xml:space="preserve"> (2)</w:t>
            </w:r>
          </w:p>
        </w:tc>
        <w:tc>
          <w:tcPr>
            <w:tcW w:w="568" w:type="dxa"/>
            <w:tcBorders>
              <w:top w:val="single" w:sz="4" w:space="0" w:color="000000"/>
              <w:left w:val="single" w:sz="4" w:space="0" w:color="000000"/>
              <w:bottom w:val="single" w:sz="4" w:space="0" w:color="000000"/>
              <w:right w:val="single" w:sz="4" w:space="0" w:color="000000"/>
            </w:tcBorders>
            <w:vAlign w:val="center"/>
          </w:tcPr>
          <w:p w14:paraId="64870803" w14:textId="77777777" w:rsidR="00087872" w:rsidRDefault="00256B13">
            <w:pPr>
              <w:widowControl w:val="0"/>
              <w:spacing w:after="0" w:line="240" w:lineRule="auto"/>
              <w:jc w:val="center"/>
              <w:rPr>
                <w:sz w:val="20"/>
                <w:szCs w:val="20"/>
                <w:lang w:eastAsia="lv-LV"/>
              </w:rPr>
            </w:pPr>
            <w:r>
              <w:rPr>
                <w:sz w:val="20"/>
                <w:szCs w:val="20"/>
                <w:lang w:eastAsia="lv-LV"/>
              </w:rPr>
              <w:t>137</w:t>
            </w:r>
          </w:p>
        </w:tc>
        <w:tc>
          <w:tcPr>
            <w:tcW w:w="708" w:type="dxa"/>
            <w:tcBorders>
              <w:top w:val="single" w:sz="4" w:space="0" w:color="000000"/>
              <w:left w:val="single" w:sz="4" w:space="0" w:color="000000"/>
              <w:bottom w:val="single" w:sz="4" w:space="0" w:color="000000"/>
              <w:right w:val="single" w:sz="4" w:space="0" w:color="000000"/>
            </w:tcBorders>
            <w:vAlign w:val="center"/>
          </w:tcPr>
          <w:p w14:paraId="2B4B4D35" w14:textId="77777777" w:rsidR="00087872" w:rsidRDefault="00256B13">
            <w:pPr>
              <w:widowControl w:val="0"/>
              <w:spacing w:after="0" w:line="240" w:lineRule="auto"/>
              <w:jc w:val="center"/>
              <w:rPr>
                <w:sz w:val="20"/>
                <w:szCs w:val="20"/>
                <w:lang w:eastAsia="lv-LV"/>
              </w:rPr>
            </w:pPr>
            <w:r>
              <w:rPr>
                <w:sz w:val="20"/>
                <w:szCs w:val="20"/>
                <w:lang w:eastAsia="lv-LV"/>
              </w:rPr>
              <w:t>59</w:t>
            </w:r>
          </w:p>
        </w:tc>
        <w:tc>
          <w:tcPr>
            <w:tcW w:w="712" w:type="dxa"/>
            <w:tcBorders>
              <w:top w:val="single" w:sz="4" w:space="0" w:color="000000"/>
              <w:left w:val="single" w:sz="4" w:space="0" w:color="000000"/>
              <w:bottom w:val="single" w:sz="4" w:space="0" w:color="000000"/>
              <w:right w:val="single" w:sz="4" w:space="0" w:color="000000"/>
            </w:tcBorders>
            <w:vAlign w:val="center"/>
          </w:tcPr>
          <w:p w14:paraId="02DDB63C" w14:textId="77777777" w:rsidR="00087872" w:rsidRDefault="00256B13">
            <w:pPr>
              <w:widowControl w:val="0"/>
              <w:spacing w:after="0" w:line="240" w:lineRule="auto"/>
              <w:jc w:val="center"/>
              <w:rPr>
                <w:sz w:val="20"/>
                <w:szCs w:val="20"/>
                <w:lang w:eastAsia="lv-LV"/>
              </w:rPr>
            </w:pPr>
            <w:r>
              <w:rPr>
                <w:sz w:val="20"/>
                <w:szCs w:val="20"/>
                <w:lang w:eastAsia="lv-LV"/>
              </w:rPr>
              <w:t>77</w:t>
            </w:r>
          </w:p>
        </w:tc>
        <w:tc>
          <w:tcPr>
            <w:tcW w:w="708" w:type="dxa"/>
            <w:tcBorders>
              <w:top w:val="single" w:sz="4" w:space="0" w:color="000000"/>
              <w:left w:val="single" w:sz="4" w:space="0" w:color="000000"/>
              <w:bottom w:val="single" w:sz="4" w:space="0" w:color="000000"/>
              <w:right w:val="single" w:sz="4" w:space="0" w:color="000000"/>
            </w:tcBorders>
            <w:vAlign w:val="center"/>
          </w:tcPr>
          <w:p w14:paraId="0EA4D652" w14:textId="77777777" w:rsidR="00087872" w:rsidRDefault="00256B13">
            <w:pPr>
              <w:widowControl w:val="0"/>
              <w:spacing w:after="0" w:line="240" w:lineRule="auto"/>
              <w:jc w:val="center"/>
              <w:rPr>
                <w:sz w:val="20"/>
                <w:szCs w:val="20"/>
              </w:rPr>
            </w:pPr>
            <w:r>
              <w:rPr>
                <w:sz w:val="20"/>
                <w:szCs w:val="20"/>
              </w:rPr>
              <w:t>33</w:t>
            </w:r>
          </w:p>
        </w:tc>
        <w:tc>
          <w:tcPr>
            <w:tcW w:w="707" w:type="dxa"/>
            <w:tcBorders>
              <w:top w:val="single" w:sz="4" w:space="0" w:color="000000"/>
              <w:left w:val="single" w:sz="4" w:space="0" w:color="000000"/>
              <w:bottom w:val="single" w:sz="4" w:space="0" w:color="000000"/>
              <w:right w:val="single" w:sz="4" w:space="0" w:color="000000"/>
            </w:tcBorders>
            <w:vAlign w:val="center"/>
          </w:tcPr>
          <w:p w14:paraId="64BEB5F2" w14:textId="77777777" w:rsidR="00087872" w:rsidRDefault="00256B13">
            <w:pPr>
              <w:widowControl w:val="0"/>
              <w:spacing w:after="0" w:line="240" w:lineRule="auto"/>
              <w:jc w:val="center"/>
              <w:rPr>
                <w:sz w:val="20"/>
                <w:szCs w:val="20"/>
              </w:rPr>
            </w:pPr>
            <w:r>
              <w:rPr>
                <w:sz w:val="20"/>
                <w:szCs w:val="20"/>
              </w:rPr>
              <w:t>22</w:t>
            </w:r>
          </w:p>
        </w:tc>
        <w:tc>
          <w:tcPr>
            <w:tcW w:w="851" w:type="dxa"/>
            <w:tcBorders>
              <w:top w:val="single" w:sz="4" w:space="0" w:color="000000"/>
              <w:left w:val="single" w:sz="4" w:space="0" w:color="000000"/>
              <w:bottom w:val="single" w:sz="4" w:space="0" w:color="000000"/>
              <w:right w:val="single" w:sz="4" w:space="0" w:color="000000"/>
            </w:tcBorders>
            <w:vAlign w:val="center"/>
          </w:tcPr>
          <w:p w14:paraId="0356F190" w14:textId="77777777" w:rsidR="00087872" w:rsidRDefault="00256B13">
            <w:pPr>
              <w:widowControl w:val="0"/>
              <w:spacing w:after="0" w:line="240" w:lineRule="auto"/>
              <w:jc w:val="center"/>
              <w:rPr>
                <w:sz w:val="20"/>
                <w:szCs w:val="20"/>
              </w:rPr>
            </w:pPr>
            <w:r>
              <w:rPr>
                <w:sz w:val="20"/>
                <w:szCs w:val="20"/>
              </w:rPr>
              <w:t>121</w:t>
            </w:r>
          </w:p>
        </w:tc>
        <w:tc>
          <w:tcPr>
            <w:tcW w:w="1133" w:type="dxa"/>
            <w:tcBorders>
              <w:top w:val="single" w:sz="4" w:space="0" w:color="000000"/>
              <w:left w:val="single" w:sz="4" w:space="0" w:color="000000"/>
              <w:bottom w:val="single" w:sz="4" w:space="0" w:color="000000"/>
              <w:right w:val="single" w:sz="4" w:space="0" w:color="000000"/>
            </w:tcBorders>
            <w:vAlign w:val="center"/>
          </w:tcPr>
          <w:p w14:paraId="397DE353" w14:textId="77777777" w:rsidR="00087872" w:rsidRDefault="00256B13">
            <w:pPr>
              <w:widowControl w:val="0"/>
              <w:spacing w:after="0" w:line="240" w:lineRule="auto"/>
              <w:jc w:val="center"/>
              <w:rPr>
                <w:sz w:val="20"/>
                <w:szCs w:val="20"/>
              </w:rPr>
            </w:pPr>
            <w:r>
              <w:rPr>
                <w:sz w:val="20"/>
                <w:szCs w:val="20"/>
              </w:rPr>
              <w:t>104</w:t>
            </w:r>
          </w:p>
        </w:tc>
      </w:tr>
      <w:tr w:rsidR="00087872" w14:paraId="5514C2E1"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5CC0044" w14:textId="77777777" w:rsidR="00087872" w:rsidRDefault="00256B13">
            <w:pPr>
              <w:widowControl w:val="0"/>
              <w:spacing w:after="0" w:line="240" w:lineRule="auto"/>
              <w:jc w:val="center"/>
              <w:rPr>
                <w:sz w:val="20"/>
                <w:szCs w:val="20"/>
                <w:lang w:eastAsia="lv-LV"/>
              </w:rPr>
            </w:pPr>
            <w:r>
              <w:rPr>
                <w:sz w:val="20"/>
                <w:szCs w:val="20"/>
                <w:lang w:eastAsia="lv-LV"/>
              </w:rPr>
              <w:t>Meža mašīnu operators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E32FAE2"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4CF833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47E8FFD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0AC8DF0"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6CE0310"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8582C3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9A61F89" w14:textId="77777777" w:rsidR="00087872" w:rsidRDefault="00256B13">
            <w:pPr>
              <w:widowControl w:val="0"/>
              <w:spacing w:after="0" w:line="240" w:lineRule="auto"/>
              <w:jc w:val="center"/>
              <w:rPr>
                <w:sz w:val="20"/>
                <w:szCs w:val="20"/>
              </w:rPr>
            </w:pPr>
            <w:r>
              <w:rPr>
                <w:sz w:val="20"/>
                <w:szCs w:val="20"/>
              </w:rPr>
              <w:t>-</w:t>
            </w:r>
          </w:p>
        </w:tc>
      </w:tr>
      <w:tr w:rsidR="00087872" w14:paraId="558204FD"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8851219" w14:textId="77777777" w:rsidR="00087872" w:rsidRDefault="00256B13">
            <w:pPr>
              <w:widowControl w:val="0"/>
              <w:spacing w:after="0" w:line="240" w:lineRule="auto"/>
              <w:jc w:val="center"/>
              <w:rPr>
                <w:sz w:val="20"/>
                <w:szCs w:val="20"/>
                <w:lang w:eastAsia="lv-LV"/>
              </w:rPr>
            </w:pPr>
            <w:r>
              <w:rPr>
                <w:sz w:val="20"/>
                <w:szCs w:val="20"/>
                <w:lang w:eastAsia="lv-LV"/>
              </w:rPr>
              <w:t>Mežsaimniecības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44141330"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130E490"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12" w:type="dxa"/>
            <w:tcBorders>
              <w:top w:val="single" w:sz="4" w:space="0" w:color="000000"/>
              <w:left w:val="single" w:sz="4" w:space="0" w:color="000000"/>
              <w:bottom w:val="single" w:sz="4" w:space="0" w:color="000000"/>
              <w:right w:val="single" w:sz="4" w:space="0" w:color="000000"/>
            </w:tcBorders>
            <w:vAlign w:val="center"/>
          </w:tcPr>
          <w:p w14:paraId="5BBD572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9C47FA2"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26119E1"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22AB722" w14:textId="77777777" w:rsidR="00087872" w:rsidRDefault="00256B13">
            <w:pPr>
              <w:widowControl w:val="0"/>
              <w:spacing w:after="0" w:line="240" w:lineRule="auto"/>
              <w:jc w:val="center"/>
              <w:rPr>
                <w:sz w:val="20"/>
                <w:szCs w:val="20"/>
              </w:rPr>
            </w:pPr>
            <w:r>
              <w:rPr>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6BC090DB" w14:textId="77777777" w:rsidR="00087872" w:rsidRDefault="00256B13">
            <w:pPr>
              <w:widowControl w:val="0"/>
              <w:spacing w:after="0" w:line="240" w:lineRule="auto"/>
              <w:jc w:val="center"/>
              <w:rPr>
                <w:sz w:val="20"/>
                <w:szCs w:val="20"/>
              </w:rPr>
            </w:pPr>
            <w:r>
              <w:rPr>
                <w:sz w:val="20"/>
                <w:szCs w:val="20"/>
              </w:rPr>
              <w:t>5</w:t>
            </w:r>
          </w:p>
        </w:tc>
      </w:tr>
      <w:tr w:rsidR="00087872" w14:paraId="28294871"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806393F" w14:textId="77777777" w:rsidR="00087872" w:rsidRDefault="00256B13">
            <w:pPr>
              <w:widowControl w:val="0"/>
              <w:spacing w:after="0" w:line="240" w:lineRule="auto"/>
              <w:jc w:val="center"/>
              <w:rPr>
                <w:sz w:val="20"/>
                <w:szCs w:val="20"/>
                <w:lang w:eastAsia="lv-LV"/>
              </w:rPr>
            </w:pPr>
            <w:r>
              <w:rPr>
                <w:sz w:val="20"/>
                <w:szCs w:val="20"/>
                <w:lang w:eastAsia="lv-LV"/>
              </w:rPr>
              <w:t>Mēbeļu galdnieks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1CF0FD6"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F9F5897" w14:textId="77777777" w:rsidR="00087872" w:rsidRDefault="00256B13">
            <w:pPr>
              <w:widowControl w:val="0"/>
              <w:spacing w:after="0" w:line="240" w:lineRule="auto"/>
              <w:jc w:val="center"/>
              <w:rPr>
                <w:sz w:val="20"/>
                <w:szCs w:val="20"/>
                <w:lang w:eastAsia="lv-LV"/>
              </w:rPr>
            </w:pPr>
            <w:r>
              <w:rPr>
                <w:sz w:val="20"/>
                <w:szCs w:val="20"/>
                <w:lang w:eastAsia="lv-LV"/>
              </w:rPr>
              <w:t>3</w:t>
            </w:r>
          </w:p>
        </w:tc>
        <w:tc>
          <w:tcPr>
            <w:tcW w:w="712" w:type="dxa"/>
            <w:tcBorders>
              <w:top w:val="single" w:sz="4" w:space="0" w:color="000000"/>
              <w:left w:val="single" w:sz="4" w:space="0" w:color="000000"/>
              <w:bottom w:val="single" w:sz="4" w:space="0" w:color="000000"/>
              <w:right w:val="single" w:sz="4" w:space="0" w:color="000000"/>
            </w:tcBorders>
            <w:vAlign w:val="center"/>
          </w:tcPr>
          <w:p w14:paraId="3F16562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6F3B99C" w14:textId="77777777" w:rsidR="00087872" w:rsidRDefault="00256B13">
            <w:pPr>
              <w:widowControl w:val="0"/>
              <w:spacing w:after="0" w:line="240" w:lineRule="auto"/>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right w:val="single" w:sz="4" w:space="0" w:color="000000"/>
            </w:tcBorders>
            <w:vAlign w:val="center"/>
          </w:tcPr>
          <w:p w14:paraId="5F246C4A"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35B2BD3" w14:textId="77777777" w:rsidR="00087872" w:rsidRDefault="00256B13">
            <w:pPr>
              <w:widowControl w:val="0"/>
              <w:spacing w:after="0" w:line="240" w:lineRule="auto"/>
              <w:jc w:val="center"/>
              <w:rPr>
                <w:sz w:val="20"/>
                <w:szCs w:val="20"/>
              </w:rPr>
            </w:pPr>
            <w:r>
              <w:rPr>
                <w:sz w:val="20"/>
                <w:szCs w:val="20"/>
              </w:rPr>
              <w:t>5</w:t>
            </w:r>
          </w:p>
        </w:tc>
        <w:tc>
          <w:tcPr>
            <w:tcW w:w="1133" w:type="dxa"/>
            <w:tcBorders>
              <w:top w:val="single" w:sz="4" w:space="0" w:color="000000"/>
              <w:left w:val="single" w:sz="4" w:space="0" w:color="000000"/>
              <w:bottom w:val="single" w:sz="4" w:space="0" w:color="000000"/>
              <w:right w:val="single" w:sz="4" w:space="0" w:color="000000"/>
            </w:tcBorders>
            <w:vAlign w:val="center"/>
          </w:tcPr>
          <w:p w14:paraId="2BAD086F" w14:textId="77777777" w:rsidR="00087872" w:rsidRDefault="00256B13">
            <w:pPr>
              <w:widowControl w:val="0"/>
              <w:spacing w:after="0" w:line="240" w:lineRule="auto"/>
              <w:jc w:val="center"/>
              <w:rPr>
                <w:sz w:val="20"/>
                <w:szCs w:val="20"/>
              </w:rPr>
            </w:pPr>
            <w:r>
              <w:rPr>
                <w:sz w:val="20"/>
                <w:szCs w:val="20"/>
              </w:rPr>
              <w:t>-</w:t>
            </w:r>
          </w:p>
        </w:tc>
      </w:tr>
      <w:tr w:rsidR="00087872" w14:paraId="516DA548"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52CCE0C8" w14:textId="77777777" w:rsidR="00087872" w:rsidRDefault="00256B13">
            <w:pPr>
              <w:widowControl w:val="0"/>
              <w:spacing w:after="0" w:line="240" w:lineRule="auto"/>
              <w:jc w:val="center"/>
              <w:rPr>
                <w:sz w:val="20"/>
                <w:szCs w:val="20"/>
                <w:lang w:eastAsia="lv-LV"/>
              </w:rPr>
            </w:pPr>
            <w:r>
              <w:rPr>
                <w:sz w:val="20"/>
                <w:szCs w:val="20"/>
                <w:lang w:eastAsia="lv-LV"/>
              </w:rPr>
              <w:t>Mūziķis – akordeonists, ansambļa 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8D8284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78F156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734B47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FBD482"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7143732"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D966D4E"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4EEC11A4" w14:textId="77777777" w:rsidR="00087872" w:rsidRDefault="00256B13">
            <w:pPr>
              <w:widowControl w:val="0"/>
              <w:spacing w:after="0" w:line="240" w:lineRule="auto"/>
              <w:jc w:val="center"/>
              <w:rPr>
                <w:sz w:val="20"/>
                <w:szCs w:val="20"/>
              </w:rPr>
            </w:pPr>
            <w:r>
              <w:rPr>
                <w:sz w:val="20"/>
                <w:szCs w:val="20"/>
              </w:rPr>
              <w:t>-</w:t>
            </w:r>
          </w:p>
        </w:tc>
      </w:tr>
      <w:tr w:rsidR="00087872" w14:paraId="5ED2777A"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66A99CA" w14:textId="77777777" w:rsidR="00087872" w:rsidRDefault="00256B13">
            <w:pPr>
              <w:widowControl w:val="0"/>
              <w:spacing w:after="0" w:line="240" w:lineRule="auto"/>
              <w:jc w:val="center"/>
              <w:rPr>
                <w:sz w:val="20"/>
                <w:szCs w:val="20"/>
                <w:lang w:eastAsia="lv-LV"/>
              </w:rPr>
            </w:pPr>
            <w:r>
              <w:rPr>
                <w:sz w:val="20"/>
                <w:szCs w:val="20"/>
                <w:lang w:eastAsia="lv-LV"/>
              </w:rPr>
              <w:t xml:space="preserve">Mūziķis </w:t>
            </w:r>
            <w:proofErr w:type="spellStart"/>
            <w:r>
              <w:rPr>
                <w:sz w:val="20"/>
                <w:szCs w:val="20"/>
                <w:lang w:eastAsia="lv-LV"/>
              </w:rPr>
              <w:t>eifonists</w:t>
            </w:r>
            <w:proofErr w:type="spellEnd"/>
            <w:r>
              <w:rPr>
                <w:sz w:val="20"/>
                <w:szCs w:val="20"/>
                <w:lang w:eastAsia="lv-LV"/>
              </w:rPr>
              <w:t>, ansambļa 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29AC40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65F453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7FF0295F"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B701726"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634ED89" w14:textId="77777777" w:rsidR="00087872" w:rsidRDefault="00256B13">
            <w:pPr>
              <w:widowControl w:val="0"/>
              <w:spacing w:after="0" w:line="240" w:lineRule="auto"/>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7898DB7"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030E835F" w14:textId="77777777" w:rsidR="00087872" w:rsidRDefault="00256B13">
            <w:pPr>
              <w:widowControl w:val="0"/>
              <w:spacing w:after="0" w:line="240" w:lineRule="auto"/>
              <w:jc w:val="center"/>
              <w:rPr>
                <w:sz w:val="20"/>
                <w:szCs w:val="20"/>
              </w:rPr>
            </w:pPr>
            <w:r>
              <w:rPr>
                <w:sz w:val="20"/>
                <w:szCs w:val="20"/>
              </w:rPr>
              <w:t>-</w:t>
            </w:r>
          </w:p>
        </w:tc>
      </w:tr>
      <w:tr w:rsidR="00087872" w14:paraId="5FC17F31"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B3E645B" w14:textId="77777777" w:rsidR="00087872" w:rsidRDefault="00256B13">
            <w:pPr>
              <w:widowControl w:val="0"/>
              <w:spacing w:after="0" w:line="240" w:lineRule="auto"/>
              <w:jc w:val="center"/>
              <w:rPr>
                <w:sz w:val="20"/>
                <w:szCs w:val="20"/>
                <w:lang w:eastAsia="lv-LV"/>
              </w:rPr>
            </w:pPr>
            <w:r>
              <w:rPr>
                <w:sz w:val="20"/>
                <w:szCs w:val="20"/>
                <w:lang w:eastAsia="lv-LV"/>
              </w:rPr>
              <w:t>Mūziķis ģitārists, ansambļa 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39CCA2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10424D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3707254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82ECDD8"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69BAD43"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D52BC5B" w14:textId="77777777" w:rsidR="00087872" w:rsidRDefault="00256B13">
            <w:pPr>
              <w:widowControl w:val="0"/>
              <w:spacing w:after="0" w:line="240" w:lineRule="auto"/>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14:paraId="2A10C0CF" w14:textId="77777777" w:rsidR="00087872" w:rsidRDefault="00256B13">
            <w:pPr>
              <w:widowControl w:val="0"/>
              <w:spacing w:after="0" w:line="240" w:lineRule="auto"/>
              <w:jc w:val="center"/>
              <w:rPr>
                <w:sz w:val="20"/>
                <w:szCs w:val="20"/>
              </w:rPr>
            </w:pPr>
            <w:r>
              <w:rPr>
                <w:sz w:val="20"/>
                <w:szCs w:val="20"/>
              </w:rPr>
              <w:t>-</w:t>
            </w:r>
          </w:p>
        </w:tc>
      </w:tr>
      <w:tr w:rsidR="00087872" w14:paraId="351E76A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D396B45" w14:textId="77777777" w:rsidR="00087872" w:rsidRDefault="00256B13">
            <w:pPr>
              <w:widowControl w:val="0"/>
              <w:spacing w:after="0" w:line="240" w:lineRule="auto"/>
              <w:jc w:val="center"/>
              <w:rPr>
                <w:sz w:val="20"/>
                <w:szCs w:val="20"/>
                <w:lang w:eastAsia="lv-LV"/>
              </w:rPr>
            </w:pPr>
            <w:r>
              <w:rPr>
                <w:sz w:val="20"/>
                <w:szCs w:val="20"/>
                <w:lang w:eastAsia="lv-LV"/>
              </w:rPr>
              <w:t>Mūziķis klarnetists, ansambļa 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ED5023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C200A0"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99EA00B"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56E7607"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9B2AE95"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6E03AE7"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1340B9A4" w14:textId="77777777" w:rsidR="00087872" w:rsidRDefault="00256B13">
            <w:pPr>
              <w:widowControl w:val="0"/>
              <w:spacing w:after="0" w:line="240" w:lineRule="auto"/>
              <w:jc w:val="center"/>
              <w:rPr>
                <w:sz w:val="20"/>
                <w:szCs w:val="20"/>
              </w:rPr>
            </w:pPr>
            <w:r>
              <w:rPr>
                <w:sz w:val="20"/>
                <w:szCs w:val="20"/>
              </w:rPr>
              <w:t>-</w:t>
            </w:r>
          </w:p>
        </w:tc>
      </w:tr>
      <w:tr w:rsidR="00087872" w14:paraId="1A067570"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CBB0011" w14:textId="77777777" w:rsidR="00087872" w:rsidRDefault="00256B13">
            <w:pPr>
              <w:widowControl w:val="0"/>
              <w:spacing w:after="0" w:line="240" w:lineRule="auto"/>
              <w:jc w:val="center"/>
              <w:rPr>
                <w:sz w:val="20"/>
                <w:szCs w:val="20"/>
                <w:lang w:eastAsia="lv-LV"/>
              </w:rPr>
            </w:pPr>
            <w:r>
              <w:rPr>
                <w:sz w:val="20"/>
                <w:szCs w:val="20"/>
                <w:lang w:eastAsia="lv-LV"/>
              </w:rPr>
              <w:t>Mūziķis, mūzikas tehnoloģiju speciālists ar specializāciju gaismotājs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5CFE81B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AC4095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3DA7856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B6AE97"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154CAB2"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CF0E176"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0063AB1" w14:textId="77777777" w:rsidR="00087872" w:rsidRDefault="00256B13">
            <w:pPr>
              <w:widowControl w:val="0"/>
              <w:spacing w:after="0" w:line="240" w:lineRule="auto"/>
              <w:jc w:val="center"/>
              <w:rPr>
                <w:sz w:val="20"/>
                <w:szCs w:val="20"/>
              </w:rPr>
            </w:pPr>
            <w:r>
              <w:rPr>
                <w:sz w:val="20"/>
                <w:szCs w:val="20"/>
              </w:rPr>
              <w:t>2</w:t>
            </w:r>
          </w:p>
        </w:tc>
      </w:tr>
      <w:tr w:rsidR="00087872" w14:paraId="675C952C"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4D41B10" w14:textId="77777777" w:rsidR="00087872" w:rsidRDefault="00256B13">
            <w:pPr>
              <w:widowControl w:val="0"/>
              <w:spacing w:after="0" w:line="240" w:lineRule="auto"/>
              <w:jc w:val="center"/>
              <w:rPr>
                <w:sz w:val="20"/>
                <w:szCs w:val="20"/>
                <w:lang w:eastAsia="lv-LV"/>
              </w:rPr>
            </w:pPr>
            <w:r>
              <w:rPr>
                <w:sz w:val="20"/>
                <w:szCs w:val="20"/>
                <w:lang w:eastAsia="lv-LV"/>
              </w:rPr>
              <w:t>Mūziķis, mūzikas teorijas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581EF254"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6435F3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1A8FE5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B319037"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776748F"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6625EFA"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6E26C2B" w14:textId="77777777" w:rsidR="00087872" w:rsidRDefault="00256B13">
            <w:pPr>
              <w:widowControl w:val="0"/>
              <w:spacing w:after="0" w:line="240" w:lineRule="auto"/>
              <w:jc w:val="center"/>
              <w:rPr>
                <w:sz w:val="20"/>
                <w:szCs w:val="20"/>
              </w:rPr>
            </w:pPr>
            <w:r>
              <w:rPr>
                <w:sz w:val="20"/>
                <w:szCs w:val="20"/>
              </w:rPr>
              <w:t>-</w:t>
            </w:r>
          </w:p>
        </w:tc>
      </w:tr>
      <w:tr w:rsidR="00087872" w14:paraId="553CCB21"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5D39405" w14:textId="77777777" w:rsidR="00087872" w:rsidRDefault="00256B13">
            <w:pPr>
              <w:widowControl w:val="0"/>
              <w:spacing w:after="0" w:line="240" w:lineRule="auto"/>
              <w:jc w:val="center"/>
              <w:rPr>
                <w:sz w:val="20"/>
                <w:szCs w:val="20"/>
                <w:lang w:eastAsia="lv-LV"/>
              </w:rPr>
            </w:pPr>
            <w:r>
              <w:rPr>
                <w:sz w:val="20"/>
                <w:szCs w:val="20"/>
                <w:lang w:eastAsia="lv-LV"/>
              </w:rPr>
              <w:t>Mūziķis pianists, koncertmeistars (3)</w:t>
            </w:r>
          </w:p>
        </w:tc>
        <w:tc>
          <w:tcPr>
            <w:tcW w:w="568" w:type="dxa"/>
            <w:tcBorders>
              <w:top w:val="single" w:sz="4" w:space="0" w:color="000000"/>
              <w:left w:val="single" w:sz="4" w:space="0" w:color="000000"/>
              <w:bottom w:val="single" w:sz="4" w:space="0" w:color="000000"/>
              <w:right w:val="single" w:sz="4" w:space="0" w:color="000000"/>
            </w:tcBorders>
            <w:vAlign w:val="center"/>
          </w:tcPr>
          <w:p w14:paraId="00E2784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2C39C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3AB1F4F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80F935D"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8954108" w14:textId="77777777" w:rsidR="00087872" w:rsidRDefault="00256B13">
            <w:pPr>
              <w:widowControl w:val="0"/>
              <w:spacing w:after="0" w:line="240" w:lineRule="auto"/>
              <w:jc w:val="center"/>
              <w:rPr>
                <w:sz w:val="20"/>
                <w:szCs w:val="20"/>
              </w:rPr>
            </w:pPr>
            <w:r>
              <w:rPr>
                <w:sz w:val="20"/>
                <w:szCs w:val="20"/>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40ECBF7A"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557A708E" w14:textId="77777777" w:rsidR="00087872" w:rsidRDefault="00256B13">
            <w:pPr>
              <w:widowControl w:val="0"/>
              <w:spacing w:after="0" w:line="240" w:lineRule="auto"/>
              <w:jc w:val="center"/>
              <w:rPr>
                <w:sz w:val="20"/>
                <w:szCs w:val="20"/>
              </w:rPr>
            </w:pPr>
            <w:r>
              <w:rPr>
                <w:sz w:val="20"/>
                <w:szCs w:val="20"/>
              </w:rPr>
              <w:t>-</w:t>
            </w:r>
          </w:p>
        </w:tc>
      </w:tr>
      <w:tr w:rsidR="00087872" w14:paraId="7B7936F6"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8499F23" w14:textId="77777777" w:rsidR="00087872" w:rsidRDefault="00256B13">
            <w:pPr>
              <w:widowControl w:val="0"/>
              <w:spacing w:after="0" w:line="240" w:lineRule="auto"/>
              <w:jc w:val="center"/>
              <w:rPr>
                <w:sz w:val="20"/>
                <w:szCs w:val="20"/>
                <w:lang w:eastAsia="lv-LV"/>
              </w:rPr>
            </w:pPr>
            <w:r>
              <w:rPr>
                <w:sz w:val="20"/>
                <w:szCs w:val="20"/>
                <w:lang w:eastAsia="lv-LV"/>
              </w:rPr>
              <w:t>Mūziķis saksofonists, ansambļa 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5B6AB5A4"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7C729B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1E9778B1"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3FDEEC6"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FBDFEEB"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6E940CF"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D680AF5" w14:textId="77777777" w:rsidR="00087872" w:rsidRDefault="00256B13">
            <w:pPr>
              <w:widowControl w:val="0"/>
              <w:spacing w:after="0" w:line="240" w:lineRule="auto"/>
              <w:jc w:val="center"/>
              <w:rPr>
                <w:sz w:val="20"/>
                <w:szCs w:val="20"/>
              </w:rPr>
            </w:pPr>
            <w:r>
              <w:rPr>
                <w:sz w:val="20"/>
                <w:szCs w:val="20"/>
              </w:rPr>
              <w:t>-</w:t>
            </w:r>
          </w:p>
        </w:tc>
      </w:tr>
      <w:tr w:rsidR="00087872" w14:paraId="5221C35E"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43E7306" w14:textId="77777777" w:rsidR="00087872" w:rsidRDefault="00256B13">
            <w:pPr>
              <w:widowControl w:val="0"/>
              <w:spacing w:after="0" w:line="240" w:lineRule="auto"/>
              <w:jc w:val="center"/>
              <w:rPr>
                <w:sz w:val="20"/>
                <w:szCs w:val="20"/>
                <w:lang w:eastAsia="lv-LV"/>
              </w:rPr>
            </w:pPr>
            <w:r>
              <w:rPr>
                <w:sz w:val="20"/>
                <w:szCs w:val="20"/>
                <w:lang w:eastAsia="lv-LV"/>
              </w:rPr>
              <w:t xml:space="preserve">Mūziķis </w:t>
            </w:r>
            <w:proofErr w:type="spellStart"/>
            <w:r>
              <w:rPr>
                <w:sz w:val="20"/>
                <w:szCs w:val="20"/>
                <w:lang w:eastAsia="lv-LV"/>
              </w:rPr>
              <w:t>sitaminstrumentālists</w:t>
            </w:r>
            <w:proofErr w:type="spellEnd"/>
            <w:r>
              <w:rPr>
                <w:sz w:val="20"/>
                <w:szCs w:val="20"/>
                <w:lang w:eastAsia="lv-LV"/>
              </w:rPr>
              <w:t>, ansambļa 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ACFB08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CB414E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1393481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441C0ED"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992EF68"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4F7422B"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2CB26036" w14:textId="77777777" w:rsidR="00087872" w:rsidRDefault="00256B13">
            <w:pPr>
              <w:widowControl w:val="0"/>
              <w:spacing w:after="0" w:line="240" w:lineRule="auto"/>
              <w:jc w:val="center"/>
              <w:rPr>
                <w:sz w:val="20"/>
                <w:szCs w:val="20"/>
              </w:rPr>
            </w:pPr>
            <w:r>
              <w:rPr>
                <w:sz w:val="20"/>
                <w:szCs w:val="20"/>
              </w:rPr>
              <w:t>-</w:t>
            </w:r>
          </w:p>
        </w:tc>
      </w:tr>
      <w:tr w:rsidR="00087872" w14:paraId="2770A99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450DF7C" w14:textId="77777777" w:rsidR="00087872" w:rsidRDefault="00256B13">
            <w:pPr>
              <w:widowControl w:val="0"/>
              <w:spacing w:after="0" w:line="240" w:lineRule="auto"/>
              <w:jc w:val="center"/>
              <w:rPr>
                <w:sz w:val="20"/>
                <w:szCs w:val="20"/>
                <w:lang w:eastAsia="lv-LV"/>
              </w:rPr>
            </w:pPr>
            <w:r>
              <w:rPr>
                <w:sz w:val="20"/>
                <w:szCs w:val="20"/>
                <w:lang w:eastAsia="lv-LV"/>
              </w:rPr>
              <w:t>Mūziķis trompetists, ansambļa 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5D9A9F4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DDD4D8"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4C3B18B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23011CE"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927BFD6"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4F750D4"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7EE4B7EB" w14:textId="77777777" w:rsidR="00087872" w:rsidRDefault="00256B13">
            <w:pPr>
              <w:widowControl w:val="0"/>
              <w:spacing w:after="0" w:line="240" w:lineRule="auto"/>
              <w:jc w:val="center"/>
              <w:rPr>
                <w:sz w:val="20"/>
                <w:szCs w:val="20"/>
              </w:rPr>
            </w:pPr>
            <w:r>
              <w:rPr>
                <w:sz w:val="20"/>
                <w:szCs w:val="20"/>
              </w:rPr>
              <w:t>-</w:t>
            </w:r>
          </w:p>
        </w:tc>
      </w:tr>
      <w:tr w:rsidR="00087872" w14:paraId="2FBF8800"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82692AC" w14:textId="77777777" w:rsidR="00087872" w:rsidRDefault="00256B13">
            <w:pPr>
              <w:widowControl w:val="0"/>
              <w:spacing w:after="0" w:line="240" w:lineRule="auto"/>
              <w:jc w:val="center"/>
              <w:rPr>
                <w:sz w:val="20"/>
                <w:szCs w:val="20"/>
                <w:lang w:eastAsia="lv-LV"/>
              </w:rPr>
            </w:pPr>
            <w:r>
              <w:rPr>
                <w:sz w:val="20"/>
                <w:szCs w:val="20"/>
                <w:lang w:eastAsia="lv-LV"/>
              </w:rPr>
              <w:t xml:space="preserve">Mūziķis </w:t>
            </w:r>
            <w:proofErr w:type="spellStart"/>
            <w:r>
              <w:rPr>
                <w:sz w:val="20"/>
                <w:szCs w:val="20"/>
                <w:lang w:eastAsia="lv-LV"/>
              </w:rPr>
              <w:t>tubists</w:t>
            </w:r>
            <w:proofErr w:type="spellEnd"/>
            <w:r>
              <w:rPr>
                <w:sz w:val="20"/>
                <w:szCs w:val="20"/>
                <w:lang w:eastAsia="lv-LV"/>
              </w:rPr>
              <w:t>, ansambļa vadītājs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AD5864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C8D620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76F699B4"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D73958F"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63D82DE"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0D23221"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1AD9C74D" w14:textId="77777777" w:rsidR="00087872" w:rsidRDefault="00256B13">
            <w:pPr>
              <w:widowControl w:val="0"/>
              <w:spacing w:after="0" w:line="240" w:lineRule="auto"/>
              <w:jc w:val="center"/>
              <w:rPr>
                <w:sz w:val="20"/>
                <w:szCs w:val="20"/>
              </w:rPr>
            </w:pPr>
            <w:r>
              <w:rPr>
                <w:sz w:val="20"/>
                <w:szCs w:val="20"/>
              </w:rPr>
              <w:t>-</w:t>
            </w:r>
          </w:p>
        </w:tc>
      </w:tr>
      <w:tr w:rsidR="00087872" w14:paraId="07F09C06"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1D141BA" w14:textId="77777777" w:rsidR="00087872" w:rsidRDefault="00256B13">
            <w:pPr>
              <w:widowControl w:val="0"/>
              <w:spacing w:after="0" w:line="240" w:lineRule="auto"/>
              <w:jc w:val="center"/>
              <w:rPr>
                <w:sz w:val="20"/>
                <w:szCs w:val="20"/>
                <w:lang w:eastAsia="lv-LV"/>
              </w:rPr>
            </w:pPr>
            <w:r>
              <w:rPr>
                <w:sz w:val="20"/>
                <w:szCs w:val="20"/>
                <w:lang w:eastAsia="lv-LV"/>
              </w:rPr>
              <w:t>Namdaris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3D356F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DBC5AE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4DF7746E"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93A821E"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49E90CA"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22571B3"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1878B1D" w14:textId="77777777" w:rsidR="00087872" w:rsidRDefault="00256B13">
            <w:pPr>
              <w:widowControl w:val="0"/>
              <w:spacing w:after="0" w:line="240" w:lineRule="auto"/>
              <w:jc w:val="center"/>
              <w:rPr>
                <w:sz w:val="20"/>
                <w:szCs w:val="20"/>
              </w:rPr>
            </w:pPr>
            <w:r>
              <w:rPr>
                <w:sz w:val="20"/>
                <w:szCs w:val="20"/>
              </w:rPr>
              <w:t>1</w:t>
            </w:r>
          </w:p>
        </w:tc>
      </w:tr>
      <w:tr w:rsidR="00087872" w14:paraId="16AF9D44"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49E4668" w14:textId="77777777" w:rsidR="00087872" w:rsidRDefault="00256B13">
            <w:pPr>
              <w:widowControl w:val="0"/>
              <w:spacing w:after="0" w:line="240" w:lineRule="auto"/>
              <w:jc w:val="center"/>
              <w:rPr>
                <w:sz w:val="20"/>
                <w:szCs w:val="20"/>
                <w:lang w:eastAsia="lv-LV"/>
              </w:rPr>
            </w:pPr>
            <w:r>
              <w:rPr>
                <w:sz w:val="20"/>
                <w:szCs w:val="20"/>
                <w:lang w:eastAsia="lv-LV"/>
              </w:rPr>
              <w:t>Pavārs (2, 3)</w:t>
            </w:r>
          </w:p>
        </w:tc>
        <w:tc>
          <w:tcPr>
            <w:tcW w:w="568" w:type="dxa"/>
            <w:tcBorders>
              <w:top w:val="single" w:sz="4" w:space="0" w:color="000000"/>
              <w:left w:val="single" w:sz="4" w:space="0" w:color="000000"/>
              <w:bottom w:val="single" w:sz="4" w:space="0" w:color="000000"/>
              <w:right w:val="single" w:sz="4" w:space="0" w:color="000000"/>
            </w:tcBorders>
            <w:vAlign w:val="center"/>
          </w:tcPr>
          <w:p w14:paraId="36FFCE69" w14:textId="77777777" w:rsidR="00087872" w:rsidRDefault="00256B13">
            <w:pPr>
              <w:widowControl w:val="0"/>
              <w:spacing w:after="0" w:line="240" w:lineRule="auto"/>
              <w:jc w:val="center"/>
              <w:rPr>
                <w:sz w:val="20"/>
                <w:szCs w:val="20"/>
                <w:lang w:eastAsia="lv-LV"/>
              </w:rPr>
            </w:pPr>
            <w:r>
              <w:rPr>
                <w:sz w:val="20"/>
                <w:szCs w:val="20"/>
                <w:lang w:eastAsia="lv-LV"/>
              </w:rPr>
              <w:t>40</w:t>
            </w:r>
          </w:p>
        </w:tc>
        <w:tc>
          <w:tcPr>
            <w:tcW w:w="708" w:type="dxa"/>
            <w:tcBorders>
              <w:top w:val="single" w:sz="4" w:space="0" w:color="000000"/>
              <w:left w:val="single" w:sz="4" w:space="0" w:color="000000"/>
              <w:bottom w:val="single" w:sz="4" w:space="0" w:color="000000"/>
              <w:right w:val="single" w:sz="4" w:space="0" w:color="000000"/>
            </w:tcBorders>
            <w:vAlign w:val="center"/>
          </w:tcPr>
          <w:p w14:paraId="0E9E68B1" w14:textId="77777777" w:rsidR="00087872" w:rsidRDefault="00256B13">
            <w:pPr>
              <w:widowControl w:val="0"/>
              <w:spacing w:after="0" w:line="240" w:lineRule="auto"/>
              <w:jc w:val="center"/>
              <w:rPr>
                <w:sz w:val="20"/>
                <w:szCs w:val="20"/>
                <w:lang w:eastAsia="lv-LV"/>
              </w:rPr>
            </w:pPr>
            <w:r>
              <w:rPr>
                <w:sz w:val="20"/>
                <w:szCs w:val="20"/>
                <w:lang w:eastAsia="lv-LV"/>
              </w:rPr>
              <w:t>26</w:t>
            </w:r>
          </w:p>
        </w:tc>
        <w:tc>
          <w:tcPr>
            <w:tcW w:w="712" w:type="dxa"/>
            <w:tcBorders>
              <w:top w:val="single" w:sz="4" w:space="0" w:color="000000"/>
              <w:left w:val="single" w:sz="4" w:space="0" w:color="000000"/>
              <w:bottom w:val="single" w:sz="4" w:space="0" w:color="000000"/>
              <w:right w:val="single" w:sz="4" w:space="0" w:color="000000"/>
            </w:tcBorders>
            <w:vAlign w:val="center"/>
          </w:tcPr>
          <w:p w14:paraId="6E22F9E8" w14:textId="77777777" w:rsidR="00087872" w:rsidRDefault="00256B13">
            <w:pPr>
              <w:widowControl w:val="0"/>
              <w:spacing w:after="0" w:line="240" w:lineRule="auto"/>
              <w:jc w:val="center"/>
              <w:rPr>
                <w:sz w:val="20"/>
                <w:szCs w:val="20"/>
                <w:lang w:eastAsia="lv-LV"/>
              </w:rPr>
            </w:pPr>
            <w:r>
              <w:rPr>
                <w:sz w:val="20"/>
                <w:szCs w:val="20"/>
                <w:lang w:eastAsia="lv-LV"/>
              </w:rPr>
              <w:t>60</w:t>
            </w:r>
          </w:p>
        </w:tc>
        <w:tc>
          <w:tcPr>
            <w:tcW w:w="708" w:type="dxa"/>
            <w:tcBorders>
              <w:top w:val="single" w:sz="4" w:space="0" w:color="000000"/>
              <w:left w:val="single" w:sz="4" w:space="0" w:color="000000"/>
              <w:bottom w:val="single" w:sz="4" w:space="0" w:color="000000"/>
              <w:right w:val="single" w:sz="4" w:space="0" w:color="000000"/>
            </w:tcBorders>
            <w:vAlign w:val="center"/>
          </w:tcPr>
          <w:p w14:paraId="4EDA2E8B" w14:textId="77777777" w:rsidR="00087872" w:rsidRDefault="00256B13">
            <w:pPr>
              <w:widowControl w:val="0"/>
              <w:spacing w:after="0" w:line="240" w:lineRule="auto"/>
              <w:jc w:val="center"/>
              <w:rPr>
                <w:sz w:val="20"/>
                <w:szCs w:val="20"/>
              </w:rPr>
            </w:pPr>
            <w:r>
              <w:rPr>
                <w:sz w:val="20"/>
                <w:szCs w:val="20"/>
              </w:rPr>
              <w:t>23</w:t>
            </w:r>
          </w:p>
        </w:tc>
        <w:tc>
          <w:tcPr>
            <w:tcW w:w="707" w:type="dxa"/>
            <w:tcBorders>
              <w:top w:val="single" w:sz="4" w:space="0" w:color="000000"/>
              <w:left w:val="single" w:sz="4" w:space="0" w:color="000000"/>
              <w:bottom w:val="single" w:sz="4" w:space="0" w:color="000000"/>
              <w:right w:val="single" w:sz="4" w:space="0" w:color="000000"/>
            </w:tcBorders>
            <w:vAlign w:val="center"/>
          </w:tcPr>
          <w:p w14:paraId="23386EAD" w14:textId="77777777" w:rsidR="00087872" w:rsidRDefault="00256B13">
            <w:pPr>
              <w:widowControl w:val="0"/>
              <w:spacing w:after="0" w:line="240" w:lineRule="auto"/>
              <w:jc w:val="center"/>
              <w:rPr>
                <w:sz w:val="20"/>
                <w:szCs w:val="20"/>
              </w:rPr>
            </w:pPr>
            <w:r>
              <w:rPr>
                <w:sz w:val="20"/>
                <w:szCs w:val="20"/>
              </w:rPr>
              <w:t>32</w:t>
            </w:r>
          </w:p>
        </w:tc>
        <w:tc>
          <w:tcPr>
            <w:tcW w:w="851" w:type="dxa"/>
            <w:tcBorders>
              <w:top w:val="single" w:sz="4" w:space="0" w:color="000000"/>
              <w:left w:val="single" w:sz="4" w:space="0" w:color="000000"/>
              <w:bottom w:val="single" w:sz="4" w:space="0" w:color="000000"/>
              <w:right w:val="single" w:sz="4" w:space="0" w:color="000000"/>
            </w:tcBorders>
            <w:vAlign w:val="center"/>
          </w:tcPr>
          <w:p w14:paraId="46FAB711" w14:textId="77777777" w:rsidR="00087872" w:rsidRDefault="00256B13">
            <w:pPr>
              <w:widowControl w:val="0"/>
              <w:spacing w:after="0" w:line="240" w:lineRule="auto"/>
              <w:jc w:val="center"/>
              <w:rPr>
                <w:sz w:val="20"/>
                <w:szCs w:val="20"/>
              </w:rPr>
            </w:pPr>
            <w:r>
              <w:rPr>
                <w:sz w:val="20"/>
                <w:szCs w:val="20"/>
              </w:rPr>
              <w:t>33</w:t>
            </w:r>
          </w:p>
        </w:tc>
        <w:tc>
          <w:tcPr>
            <w:tcW w:w="1133" w:type="dxa"/>
            <w:tcBorders>
              <w:top w:val="single" w:sz="4" w:space="0" w:color="000000"/>
              <w:left w:val="single" w:sz="4" w:space="0" w:color="000000"/>
              <w:bottom w:val="single" w:sz="4" w:space="0" w:color="000000"/>
              <w:right w:val="single" w:sz="4" w:space="0" w:color="000000"/>
            </w:tcBorders>
            <w:vAlign w:val="center"/>
          </w:tcPr>
          <w:p w14:paraId="1B4DE750" w14:textId="77777777" w:rsidR="00087872" w:rsidRDefault="00256B13">
            <w:pPr>
              <w:widowControl w:val="0"/>
              <w:spacing w:after="0" w:line="240" w:lineRule="auto"/>
              <w:jc w:val="center"/>
              <w:rPr>
                <w:sz w:val="20"/>
                <w:szCs w:val="20"/>
              </w:rPr>
            </w:pPr>
            <w:r>
              <w:rPr>
                <w:sz w:val="20"/>
                <w:szCs w:val="20"/>
              </w:rPr>
              <w:t>54</w:t>
            </w:r>
          </w:p>
        </w:tc>
      </w:tr>
      <w:tr w:rsidR="00087872" w14:paraId="1E6BB04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A30EBD4" w14:textId="77777777" w:rsidR="00087872" w:rsidRDefault="00256B13">
            <w:pPr>
              <w:widowControl w:val="0"/>
              <w:spacing w:after="0" w:line="240" w:lineRule="auto"/>
              <w:jc w:val="center"/>
              <w:rPr>
                <w:sz w:val="20"/>
                <w:szCs w:val="20"/>
                <w:lang w:eastAsia="lv-LV"/>
              </w:rPr>
            </w:pPr>
            <w:r>
              <w:rPr>
                <w:sz w:val="20"/>
                <w:szCs w:val="20"/>
                <w:lang w:eastAsia="lv-LV"/>
              </w:rPr>
              <w:t>Pārtikas produktu ražošanas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1D411B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FB849F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BFA29E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7272E8F"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531E609"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652C90C"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60F7D322" w14:textId="77777777" w:rsidR="00087872" w:rsidRDefault="00256B13">
            <w:pPr>
              <w:widowControl w:val="0"/>
              <w:spacing w:after="0" w:line="240" w:lineRule="auto"/>
              <w:jc w:val="center"/>
              <w:rPr>
                <w:sz w:val="20"/>
                <w:szCs w:val="20"/>
              </w:rPr>
            </w:pPr>
            <w:r>
              <w:rPr>
                <w:sz w:val="20"/>
                <w:szCs w:val="20"/>
              </w:rPr>
              <w:t>-</w:t>
            </w:r>
          </w:p>
        </w:tc>
      </w:tr>
      <w:tr w:rsidR="00087872" w14:paraId="72EA3C06"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45616A4" w14:textId="77777777" w:rsidR="00087872" w:rsidRDefault="00256B13">
            <w:pPr>
              <w:widowControl w:val="0"/>
              <w:spacing w:after="0" w:line="240" w:lineRule="auto"/>
              <w:jc w:val="center"/>
              <w:rPr>
                <w:sz w:val="20"/>
                <w:szCs w:val="20"/>
                <w:lang w:eastAsia="lv-LV"/>
              </w:rPr>
            </w:pPr>
            <w:r>
              <w:rPr>
                <w:sz w:val="20"/>
                <w:szCs w:val="20"/>
                <w:lang w:eastAsia="lv-LV"/>
              </w:rPr>
              <w:t>Pirtnieks (2)</w:t>
            </w:r>
          </w:p>
        </w:tc>
        <w:tc>
          <w:tcPr>
            <w:tcW w:w="568" w:type="dxa"/>
            <w:tcBorders>
              <w:top w:val="single" w:sz="4" w:space="0" w:color="000000"/>
              <w:left w:val="single" w:sz="4" w:space="0" w:color="000000"/>
              <w:bottom w:val="single" w:sz="4" w:space="0" w:color="000000"/>
              <w:right w:val="single" w:sz="4" w:space="0" w:color="000000"/>
            </w:tcBorders>
            <w:vAlign w:val="center"/>
          </w:tcPr>
          <w:p w14:paraId="15AF67AC"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05290003"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10F2345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6CF428D"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838FD9A"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D65E9B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9C4EDF8" w14:textId="77777777" w:rsidR="00087872" w:rsidRDefault="00256B13">
            <w:pPr>
              <w:widowControl w:val="0"/>
              <w:spacing w:after="0" w:line="240" w:lineRule="auto"/>
              <w:jc w:val="center"/>
              <w:rPr>
                <w:sz w:val="20"/>
                <w:szCs w:val="20"/>
              </w:rPr>
            </w:pPr>
            <w:r>
              <w:rPr>
                <w:sz w:val="20"/>
                <w:szCs w:val="20"/>
              </w:rPr>
              <w:t>-</w:t>
            </w:r>
          </w:p>
        </w:tc>
      </w:tr>
      <w:tr w:rsidR="00087872" w14:paraId="60818398"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F0DB8D4" w14:textId="77777777" w:rsidR="00087872" w:rsidRDefault="00256B13">
            <w:pPr>
              <w:widowControl w:val="0"/>
              <w:spacing w:after="0" w:line="240" w:lineRule="auto"/>
              <w:jc w:val="center"/>
              <w:rPr>
                <w:sz w:val="20"/>
                <w:szCs w:val="20"/>
                <w:lang w:eastAsia="lv-LV"/>
              </w:rPr>
            </w:pPr>
            <w:r>
              <w:rPr>
                <w:sz w:val="20"/>
                <w:szCs w:val="20"/>
                <w:lang w:eastAsia="lv-LV"/>
              </w:rPr>
              <w:t>Poligrāfijas ražošanas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C78603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1106849"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12" w:type="dxa"/>
            <w:tcBorders>
              <w:top w:val="single" w:sz="4" w:space="0" w:color="000000"/>
              <w:left w:val="single" w:sz="4" w:space="0" w:color="000000"/>
              <w:bottom w:val="single" w:sz="4" w:space="0" w:color="000000"/>
              <w:right w:val="single" w:sz="4" w:space="0" w:color="000000"/>
            </w:tcBorders>
            <w:vAlign w:val="center"/>
          </w:tcPr>
          <w:p w14:paraId="4D7DA2D8" w14:textId="77777777" w:rsidR="00087872" w:rsidRDefault="00256B13">
            <w:pPr>
              <w:widowControl w:val="0"/>
              <w:spacing w:after="0" w:line="240" w:lineRule="auto"/>
              <w:jc w:val="center"/>
              <w:rPr>
                <w:sz w:val="20"/>
                <w:szCs w:val="20"/>
                <w:lang w:eastAsia="lv-LV"/>
              </w:rPr>
            </w:pPr>
            <w:r>
              <w:rPr>
                <w:sz w:val="20"/>
                <w:szCs w:val="20"/>
                <w:lang w:eastAsia="lv-LV"/>
              </w:rPr>
              <w:t>23</w:t>
            </w:r>
          </w:p>
        </w:tc>
        <w:tc>
          <w:tcPr>
            <w:tcW w:w="708" w:type="dxa"/>
            <w:tcBorders>
              <w:top w:val="single" w:sz="4" w:space="0" w:color="000000"/>
              <w:left w:val="single" w:sz="4" w:space="0" w:color="000000"/>
              <w:bottom w:val="single" w:sz="4" w:space="0" w:color="000000"/>
              <w:right w:val="single" w:sz="4" w:space="0" w:color="000000"/>
            </w:tcBorders>
            <w:vAlign w:val="center"/>
          </w:tcPr>
          <w:p w14:paraId="67DD08A4"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5A1630E"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B61E402"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574E4FD" w14:textId="77777777" w:rsidR="00087872" w:rsidRDefault="00256B13">
            <w:pPr>
              <w:widowControl w:val="0"/>
              <w:spacing w:after="0" w:line="240" w:lineRule="auto"/>
              <w:jc w:val="center"/>
              <w:rPr>
                <w:sz w:val="20"/>
                <w:szCs w:val="20"/>
              </w:rPr>
            </w:pPr>
            <w:r>
              <w:rPr>
                <w:sz w:val="20"/>
                <w:szCs w:val="20"/>
              </w:rPr>
              <w:t>-</w:t>
            </w:r>
          </w:p>
        </w:tc>
      </w:tr>
      <w:tr w:rsidR="00087872" w14:paraId="2A15E1BF"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3A23535" w14:textId="77777777" w:rsidR="00087872" w:rsidRDefault="00256B13">
            <w:pPr>
              <w:widowControl w:val="0"/>
              <w:spacing w:after="0" w:line="240" w:lineRule="auto"/>
              <w:jc w:val="center"/>
              <w:rPr>
                <w:sz w:val="20"/>
                <w:szCs w:val="20"/>
                <w:lang w:eastAsia="lv-LV"/>
              </w:rPr>
            </w:pPr>
            <w:r>
              <w:rPr>
                <w:sz w:val="20"/>
                <w:szCs w:val="20"/>
                <w:lang w:eastAsia="lv-LV"/>
              </w:rPr>
              <w:t>Programmēšanas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0E02E09" w14:textId="77777777" w:rsidR="00087872" w:rsidRDefault="00256B13">
            <w:pPr>
              <w:widowControl w:val="0"/>
              <w:spacing w:after="0" w:line="240" w:lineRule="auto"/>
              <w:jc w:val="center"/>
              <w:rPr>
                <w:sz w:val="20"/>
                <w:szCs w:val="20"/>
                <w:lang w:eastAsia="lv-LV"/>
              </w:rPr>
            </w:pPr>
            <w:r>
              <w:rPr>
                <w:sz w:val="20"/>
                <w:szCs w:val="20"/>
                <w:lang w:eastAsia="lv-LV"/>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1352EBC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6F2D242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1D223EC"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5B8F085"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2F00BB7"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DFE2673" w14:textId="77777777" w:rsidR="00087872" w:rsidRDefault="00256B13">
            <w:pPr>
              <w:widowControl w:val="0"/>
              <w:spacing w:after="0" w:line="240" w:lineRule="auto"/>
              <w:jc w:val="center"/>
              <w:rPr>
                <w:sz w:val="20"/>
                <w:szCs w:val="20"/>
              </w:rPr>
            </w:pPr>
            <w:r>
              <w:rPr>
                <w:sz w:val="20"/>
                <w:szCs w:val="20"/>
              </w:rPr>
              <w:t>-</w:t>
            </w:r>
          </w:p>
        </w:tc>
      </w:tr>
      <w:tr w:rsidR="00087872" w14:paraId="1D2EE4F3"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482304F" w14:textId="77777777" w:rsidR="00087872" w:rsidRDefault="00256B13">
            <w:pPr>
              <w:widowControl w:val="0"/>
              <w:spacing w:after="0" w:line="240" w:lineRule="auto"/>
              <w:jc w:val="center"/>
              <w:rPr>
                <w:sz w:val="20"/>
                <w:szCs w:val="20"/>
              </w:rPr>
            </w:pPr>
            <w:proofErr w:type="spellStart"/>
            <w:r>
              <w:rPr>
                <w:sz w:val="20"/>
                <w:szCs w:val="20"/>
              </w:rPr>
              <w:t>Programmvadības</w:t>
            </w:r>
            <w:proofErr w:type="spellEnd"/>
            <w:r>
              <w:rPr>
                <w:sz w:val="20"/>
                <w:szCs w:val="20"/>
              </w:rPr>
              <w:t xml:space="preserve"> metālapstrādes darbgaldu iestatītājs. Datorizētās ciparu vadības (CNC) metālapstrādes darbgaldu iestatītājs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1840AF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1A5450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2C56DAB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1173E7" w14:textId="77777777" w:rsidR="00087872" w:rsidRDefault="00256B13">
            <w:pPr>
              <w:widowControl w:val="0"/>
              <w:spacing w:after="0" w:line="240" w:lineRule="auto"/>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07981B18"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15427B4"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484293D" w14:textId="77777777" w:rsidR="00087872" w:rsidRDefault="00256B13">
            <w:pPr>
              <w:widowControl w:val="0"/>
              <w:spacing w:after="0" w:line="240" w:lineRule="auto"/>
              <w:jc w:val="center"/>
              <w:rPr>
                <w:sz w:val="20"/>
                <w:szCs w:val="20"/>
              </w:rPr>
            </w:pPr>
            <w:r>
              <w:rPr>
                <w:sz w:val="20"/>
                <w:szCs w:val="20"/>
              </w:rPr>
              <w:t>-</w:t>
            </w:r>
          </w:p>
        </w:tc>
      </w:tr>
      <w:tr w:rsidR="00087872" w14:paraId="5E182100"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B120550" w14:textId="77777777" w:rsidR="00087872" w:rsidRDefault="00256B13">
            <w:pPr>
              <w:widowControl w:val="0"/>
              <w:spacing w:after="0" w:line="240" w:lineRule="auto"/>
              <w:jc w:val="center"/>
              <w:rPr>
                <w:sz w:val="20"/>
                <w:szCs w:val="20"/>
                <w:lang w:eastAsia="lv-LV"/>
              </w:rPr>
            </w:pPr>
            <w:r>
              <w:rPr>
                <w:sz w:val="20"/>
                <w:szCs w:val="20"/>
                <w:lang w:eastAsia="lv-LV"/>
              </w:rPr>
              <w:t xml:space="preserve">Reklāmas pakalpojumu </w:t>
            </w:r>
            <w:proofErr w:type="spellStart"/>
            <w:r>
              <w:rPr>
                <w:sz w:val="20"/>
                <w:szCs w:val="20"/>
                <w:lang w:eastAsia="lv-LV"/>
              </w:rPr>
              <w:t>komercdarbinieks</w:t>
            </w:r>
            <w:proofErr w:type="spellEnd"/>
            <w:r>
              <w:rPr>
                <w:sz w:val="20"/>
                <w:szCs w:val="20"/>
                <w:lang w:eastAsia="lv-LV"/>
              </w:rPr>
              <w:t xml:space="preserve"> (3)</w:t>
            </w:r>
          </w:p>
        </w:tc>
        <w:tc>
          <w:tcPr>
            <w:tcW w:w="568" w:type="dxa"/>
            <w:tcBorders>
              <w:top w:val="single" w:sz="4" w:space="0" w:color="000000"/>
              <w:left w:val="single" w:sz="4" w:space="0" w:color="000000"/>
              <w:bottom w:val="single" w:sz="4" w:space="0" w:color="000000"/>
              <w:right w:val="single" w:sz="4" w:space="0" w:color="000000"/>
            </w:tcBorders>
            <w:vAlign w:val="center"/>
          </w:tcPr>
          <w:p w14:paraId="6D62890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82FCFDE"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12" w:type="dxa"/>
            <w:tcBorders>
              <w:top w:val="single" w:sz="4" w:space="0" w:color="000000"/>
              <w:left w:val="single" w:sz="4" w:space="0" w:color="000000"/>
              <w:bottom w:val="single" w:sz="4" w:space="0" w:color="000000"/>
              <w:right w:val="single" w:sz="4" w:space="0" w:color="000000"/>
            </w:tcBorders>
            <w:vAlign w:val="center"/>
          </w:tcPr>
          <w:p w14:paraId="5D46817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4E0A763"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9826AE9"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B4C66DA"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D129CD9" w14:textId="77777777" w:rsidR="00087872" w:rsidRDefault="00256B13">
            <w:pPr>
              <w:widowControl w:val="0"/>
              <w:spacing w:after="0" w:line="240" w:lineRule="auto"/>
              <w:jc w:val="center"/>
              <w:rPr>
                <w:sz w:val="20"/>
                <w:szCs w:val="20"/>
              </w:rPr>
            </w:pPr>
            <w:r>
              <w:rPr>
                <w:sz w:val="20"/>
                <w:szCs w:val="20"/>
              </w:rPr>
              <w:t>-</w:t>
            </w:r>
          </w:p>
        </w:tc>
      </w:tr>
      <w:tr w:rsidR="00087872" w14:paraId="6671B055"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5EB6D39E" w14:textId="77777777" w:rsidR="00087872" w:rsidRDefault="00256B13">
            <w:pPr>
              <w:widowControl w:val="0"/>
              <w:spacing w:after="0" w:line="240" w:lineRule="auto"/>
              <w:jc w:val="center"/>
              <w:rPr>
                <w:sz w:val="20"/>
                <w:szCs w:val="20"/>
                <w:lang w:eastAsia="lv-LV"/>
              </w:rPr>
            </w:pPr>
            <w:r>
              <w:rPr>
                <w:sz w:val="20"/>
                <w:szCs w:val="20"/>
                <w:lang w:eastAsia="lv-LV"/>
              </w:rPr>
              <w:t>Restauratora asistents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6E12D5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7952D6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20FAED1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66085B"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65B8112"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F736C9A" w14:textId="77777777" w:rsidR="00087872" w:rsidRDefault="00256B13">
            <w:pPr>
              <w:widowControl w:val="0"/>
              <w:spacing w:after="0" w:line="240" w:lineRule="auto"/>
              <w:jc w:val="center"/>
              <w:rPr>
                <w:sz w:val="20"/>
                <w:szCs w:val="20"/>
              </w:rPr>
            </w:pPr>
            <w:r>
              <w:rPr>
                <w:sz w:val="20"/>
                <w:szCs w:val="20"/>
              </w:rPr>
              <w:t>4</w:t>
            </w:r>
          </w:p>
        </w:tc>
        <w:tc>
          <w:tcPr>
            <w:tcW w:w="1133" w:type="dxa"/>
            <w:tcBorders>
              <w:top w:val="single" w:sz="4" w:space="0" w:color="000000"/>
              <w:left w:val="single" w:sz="4" w:space="0" w:color="000000"/>
              <w:bottom w:val="single" w:sz="4" w:space="0" w:color="000000"/>
              <w:right w:val="single" w:sz="4" w:space="0" w:color="000000"/>
            </w:tcBorders>
            <w:vAlign w:val="center"/>
          </w:tcPr>
          <w:p w14:paraId="4A1A1A59" w14:textId="77777777" w:rsidR="00087872" w:rsidRDefault="00256B13">
            <w:pPr>
              <w:widowControl w:val="0"/>
              <w:spacing w:after="0" w:line="240" w:lineRule="auto"/>
              <w:jc w:val="center"/>
              <w:rPr>
                <w:sz w:val="20"/>
                <w:szCs w:val="20"/>
              </w:rPr>
            </w:pPr>
            <w:r>
              <w:rPr>
                <w:sz w:val="20"/>
                <w:szCs w:val="20"/>
              </w:rPr>
              <w:t>-</w:t>
            </w:r>
          </w:p>
        </w:tc>
      </w:tr>
      <w:tr w:rsidR="00087872" w14:paraId="542E191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32868B37" w14:textId="77777777" w:rsidR="00087872" w:rsidRDefault="00256B13">
            <w:pPr>
              <w:widowControl w:val="0"/>
              <w:spacing w:after="0" w:line="240" w:lineRule="auto"/>
              <w:jc w:val="center"/>
              <w:rPr>
                <w:sz w:val="20"/>
                <w:szCs w:val="20"/>
                <w:lang w:eastAsia="lv-LV"/>
              </w:rPr>
            </w:pPr>
            <w:r>
              <w:rPr>
                <w:sz w:val="20"/>
                <w:szCs w:val="20"/>
                <w:lang w:eastAsia="lv-LV"/>
              </w:rPr>
              <w:t>Restorānu pakalpojumu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E978AC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6B2FCC8"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B98696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111ACEE" w14:textId="77777777" w:rsidR="00087872" w:rsidRDefault="00256B13">
            <w:pPr>
              <w:widowControl w:val="0"/>
              <w:spacing w:after="0" w:line="240" w:lineRule="auto"/>
              <w:jc w:val="center"/>
              <w:rPr>
                <w:sz w:val="20"/>
                <w:szCs w:val="20"/>
              </w:rPr>
            </w:pPr>
            <w:r>
              <w:rPr>
                <w:sz w:val="20"/>
                <w:szCs w:val="20"/>
              </w:rPr>
              <w:t>4</w:t>
            </w:r>
          </w:p>
        </w:tc>
        <w:tc>
          <w:tcPr>
            <w:tcW w:w="707" w:type="dxa"/>
            <w:tcBorders>
              <w:top w:val="single" w:sz="4" w:space="0" w:color="000000"/>
              <w:left w:val="single" w:sz="4" w:space="0" w:color="000000"/>
              <w:bottom w:val="single" w:sz="4" w:space="0" w:color="000000"/>
              <w:right w:val="single" w:sz="4" w:space="0" w:color="000000"/>
            </w:tcBorders>
            <w:vAlign w:val="center"/>
          </w:tcPr>
          <w:p w14:paraId="1E23E5A1"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22D09AF"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4D96CC1" w14:textId="77777777" w:rsidR="00087872" w:rsidRDefault="00256B13">
            <w:pPr>
              <w:widowControl w:val="0"/>
              <w:spacing w:after="0" w:line="240" w:lineRule="auto"/>
              <w:jc w:val="center"/>
              <w:rPr>
                <w:sz w:val="20"/>
                <w:szCs w:val="20"/>
              </w:rPr>
            </w:pPr>
            <w:r>
              <w:rPr>
                <w:sz w:val="20"/>
                <w:szCs w:val="20"/>
              </w:rPr>
              <w:t>-</w:t>
            </w:r>
          </w:p>
        </w:tc>
      </w:tr>
      <w:tr w:rsidR="00087872" w14:paraId="45D447EC"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785F75B" w14:textId="77777777" w:rsidR="00087872" w:rsidRDefault="00256B13">
            <w:pPr>
              <w:widowControl w:val="0"/>
              <w:spacing w:after="0" w:line="240" w:lineRule="auto"/>
              <w:jc w:val="center"/>
              <w:rPr>
                <w:sz w:val="20"/>
                <w:szCs w:val="20"/>
                <w:lang w:eastAsia="lv-LV"/>
              </w:rPr>
            </w:pPr>
            <w:r>
              <w:rPr>
                <w:sz w:val="20"/>
                <w:szCs w:val="20"/>
                <w:lang w:eastAsia="lv-LV"/>
              </w:rPr>
              <w:t>Sanitārtehnisko iekārtu montētājs (2)</w:t>
            </w:r>
          </w:p>
        </w:tc>
        <w:tc>
          <w:tcPr>
            <w:tcW w:w="568" w:type="dxa"/>
            <w:tcBorders>
              <w:top w:val="single" w:sz="4" w:space="0" w:color="000000"/>
              <w:left w:val="single" w:sz="4" w:space="0" w:color="000000"/>
              <w:bottom w:val="single" w:sz="4" w:space="0" w:color="000000"/>
              <w:right w:val="single" w:sz="4" w:space="0" w:color="000000"/>
            </w:tcBorders>
            <w:vAlign w:val="center"/>
          </w:tcPr>
          <w:p w14:paraId="396F09AB" w14:textId="77777777" w:rsidR="00087872" w:rsidRDefault="00256B13">
            <w:pPr>
              <w:widowControl w:val="0"/>
              <w:spacing w:after="0" w:line="240" w:lineRule="auto"/>
              <w:jc w:val="center"/>
              <w:rPr>
                <w:sz w:val="20"/>
                <w:szCs w:val="20"/>
                <w:lang w:eastAsia="lv-LV"/>
              </w:rPr>
            </w:pPr>
            <w:r>
              <w:rPr>
                <w:sz w:val="20"/>
                <w:szCs w:val="20"/>
                <w:lang w:eastAsia="lv-LV"/>
              </w:rPr>
              <w:t>38</w:t>
            </w:r>
          </w:p>
        </w:tc>
        <w:tc>
          <w:tcPr>
            <w:tcW w:w="708" w:type="dxa"/>
            <w:tcBorders>
              <w:top w:val="single" w:sz="4" w:space="0" w:color="000000"/>
              <w:left w:val="single" w:sz="4" w:space="0" w:color="000000"/>
              <w:bottom w:val="single" w:sz="4" w:space="0" w:color="000000"/>
              <w:right w:val="single" w:sz="4" w:space="0" w:color="000000"/>
            </w:tcBorders>
            <w:vAlign w:val="center"/>
          </w:tcPr>
          <w:p w14:paraId="73D2B405" w14:textId="77777777" w:rsidR="00087872" w:rsidRDefault="00256B13">
            <w:pPr>
              <w:widowControl w:val="0"/>
              <w:spacing w:after="0" w:line="240" w:lineRule="auto"/>
              <w:jc w:val="center"/>
              <w:rPr>
                <w:sz w:val="20"/>
                <w:szCs w:val="20"/>
                <w:lang w:eastAsia="lv-LV"/>
              </w:rPr>
            </w:pPr>
            <w:r>
              <w:rPr>
                <w:sz w:val="20"/>
                <w:szCs w:val="20"/>
                <w:lang w:eastAsia="lv-LV"/>
              </w:rPr>
              <w:t>56</w:t>
            </w:r>
          </w:p>
        </w:tc>
        <w:tc>
          <w:tcPr>
            <w:tcW w:w="712" w:type="dxa"/>
            <w:tcBorders>
              <w:top w:val="single" w:sz="4" w:space="0" w:color="000000"/>
              <w:left w:val="single" w:sz="4" w:space="0" w:color="000000"/>
              <w:bottom w:val="single" w:sz="4" w:space="0" w:color="000000"/>
              <w:right w:val="single" w:sz="4" w:space="0" w:color="000000"/>
            </w:tcBorders>
            <w:vAlign w:val="center"/>
          </w:tcPr>
          <w:p w14:paraId="755107EB" w14:textId="77777777" w:rsidR="00087872" w:rsidRDefault="00256B13">
            <w:pPr>
              <w:widowControl w:val="0"/>
              <w:spacing w:after="0" w:line="240" w:lineRule="auto"/>
              <w:jc w:val="center"/>
              <w:rPr>
                <w:sz w:val="20"/>
                <w:szCs w:val="20"/>
                <w:lang w:eastAsia="lv-LV"/>
              </w:rPr>
            </w:pPr>
            <w:r>
              <w:rPr>
                <w:sz w:val="20"/>
                <w:szCs w:val="20"/>
                <w:lang w:eastAsia="lv-LV"/>
              </w:rPr>
              <w:t>20</w:t>
            </w:r>
          </w:p>
        </w:tc>
        <w:tc>
          <w:tcPr>
            <w:tcW w:w="708" w:type="dxa"/>
            <w:tcBorders>
              <w:top w:val="single" w:sz="4" w:space="0" w:color="000000"/>
              <w:left w:val="single" w:sz="4" w:space="0" w:color="000000"/>
              <w:bottom w:val="single" w:sz="4" w:space="0" w:color="000000"/>
              <w:right w:val="single" w:sz="4" w:space="0" w:color="000000"/>
            </w:tcBorders>
            <w:vAlign w:val="center"/>
          </w:tcPr>
          <w:p w14:paraId="40A9B5FC"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9B768E0"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C3F3B89"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0DBA84C" w14:textId="77777777" w:rsidR="00087872" w:rsidRDefault="00256B13">
            <w:pPr>
              <w:widowControl w:val="0"/>
              <w:spacing w:after="0" w:line="240" w:lineRule="auto"/>
              <w:jc w:val="center"/>
              <w:rPr>
                <w:sz w:val="20"/>
                <w:szCs w:val="20"/>
              </w:rPr>
            </w:pPr>
            <w:r>
              <w:rPr>
                <w:sz w:val="20"/>
                <w:szCs w:val="20"/>
              </w:rPr>
              <w:t>-</w:t>
            </w:r>
          </w:p>
        </w:tc>
      </w:tr>
      <w:tr w:rsidR="00087872" w14:paraId="12B061F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BD7FA2E" w14:textId="77777777" w:rsidR="00087872" w:rsidRDefault="00256B13">
            <w:pPr>
              <w:widowControl w:val="0"/>
              <w:spacing w:after="0" w:line="240" w:lineRule="auto"/>
              <w:jc w:val="center"/>
              <w:rPr>
                <w:sz w:val="20"/>
                <w:szCs w:val="20"/>
                <w:lang w:eastAsia="lv-LV"/>
              </w:rPr>
            </w:pPr>
            <w:r>
              <w:rPr>
                <w:sz w:val="20"/>
                <w:szCs w:val="20"/>
                <w:lang w:eastAsia="lv-LV"/>
              </w:rPr>
              <w:t>Sliežu ceļu saimniecības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7A5A18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833C5B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1533C98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EC62829" w14:textId="77777777" w:rsidR="00087872" w:rsidRDefault="00256B13">
            <w:pPr>
              <w:widowControl w:val="0"/>
              <w:spacing w:after="0" w:line="240" w:lineRule="auto"/>
              <w:jc w:val="center"/>
              <w:rPr>
                <w:sz w:val="20"/>
                <w:szCs w:val="20"/>
              </w:rPr>
            </w:pPr>
            <w:r>
              <w:rPr>
                <w:sz w:val="20"/>
                <w:szCs w:val="20"/>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12FFA5FB"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48F5609"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9E49EE4" w14:textId="77777777" w:rsidR="00087872" w:rsidRDefault="00256B13">
            <w:pPr>
              <w:widowControl w:val="0"/>
              <w:spacing w:after="0" w:line="240" w:lineRule="auto"/>
              <w:jc w:val="center"/>
              <w:rPr>
                <w:sz w:val="20"/>
                <w:szCs w:val="20"/>
              </w:rPr>
            </w:pPr>
            <w:r>
              <w:rPr>
                <w:sz w:val="20"/>
                <w:szCs w:val="20"/>
              </w:rPr>
              <w:t>-</w:t>
            </w:r>
          </w:p>
        </w:tc>
      </w:tr>
      <w:tr w:rsidR="00087872" w14:paraId="7D392264"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3AB82CC" w14:textId="77777777" w:rsidR="00087872" w:rsidRDefault="00256B13">
            <w:pPr>
              <w:widowControl w:val="0"/>
              <w:spacing w:after="0" w:line="240" w:lineRule="auto"/>
              <w:jc w:val="center"/>
              <w:rPr>
                <w:sz w:val="20"/>
                <w:szCs w:val="20"/>
                <w:lang w:eastAsia="lv-LV"/>
              </w:rPr>
            </w:pPr>
            <w:r>
              <w:rPr>
                <w:sz w:val="20"/>
                <w:szCs w:val="20"/>
                <w:lang w:eastAsia="lv-LV"/>
              </w:rPr>
              <w:t>SPA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5C590D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751916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F449A8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E7F83D"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F2B30E6" w14:textId="77777777" w:rsidR="00087872" w:rsidRDefault="00256B13">
            <w:pPr>
              <w:widowControl w:val="0"/>
              <w:spacing w:after="0" w:line="240" w:lineRule="auto"/>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6FFC13E"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CA5519F" w14:textId="77777777" w:rsidR="00087872" w:rsidRDefault="00256B13">
            <w:pPr>
              <w:widowControl w:val="0"/>
              <w:spacing w:after="0" w:line="240" w:lineRule="auto"/>
              <w:jc w:val="center"/>
              <w:rPr>
                <w:sz w:val="20"/>
                <w:szCs w:val="20"/>
              </w:rPr>
            </w:pPr>
            <w:r>
              <w:rPr>
                <w:sz w:val="20"/>
                <w:szCs w:val="20"/>
              </w:rPr>
              <w:t>-</w:t>
            </w:r>
          </w:p>
        </w:tc>
      </w:tr>
      <w:tr w:rsidR="00087872" w14:paraId="5BB95361"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3E94A2C" w14:textId="77777777" w:rsidR="00087872" w:rsidRDefault="00256B13">
            <w:pPr>
              <w:widowControl w:val="0"/>
              <w:spacing w:after="0" w:line="240" w:lineRule="auto"/>
              <w:jc w:val="center"/>
              <w:rPr>
                <w:sz w:val="20"/>
                <w:szCs w:val="20"/>
                <w:lang w:eastAsia="lv-LV"/>
              </w:rPr>
            </w:pPr>
            <w:r>
              <w:rPr>
                <w:sz w:val="20"/>
                <w:szCs w:val="20"/>
                <w:lang w:eastAsia="lv-LV"/>
              </w:rPr>
              <w:t>Šuvējs (2)</w:t>
            </w:r>
          </w:p>
        </w:tc>
        <w:tc>
          <w:tcPr>
            <w:tcW w:w="568" w:type="dxa"/>
            <w:tcBorders>
              <w:top w:val="single" w:sz="4" w:space="0" w:color="000000"/>
              <w:left w:val="single" w:sz="4" w:space="0" w:color="000000"/>
              <w:bottom w:val="single" w:sz="4" w:space="0" w:color="000000"/>
              <w:right w:val="single" w:sz="4" w:space="0" w:color="000000"/>
            </w:tcBorders>
            <w:vAlign w:val="center"/>
          </w:tcPr>
          <w:p w14:paraId="77CF2690"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107656F" w14:textId="77777777" w:rsidR="00087872" w:rsidRDefault="00256B13">
            <w:pPr>
              <w:widowControl w:val="0"/>
              <w:spacing w:after="0" w:line="240" w:lineRule="auto"/>
              <w:jc w:val="center"/>
              <w:rPr>
                <w:sz w:val="20"/>
                <w:szCs w:val="20"/>
                <w:lang w:eastAsia="lv-LV"/>
              </w:rPr>
            </w:pPr>
            <w:r>
              <w:rPr>
                <w:sz w:val="20"/>
                <w:szCs w:val="20"/>
                <w:lang w:eastAsia="lv-LV"/>
              </w:rPr>
              <w:t>6</w:t>
            </w:r>
          </w:p>
        </w:tc>
        <w:tc>
          <w:tcPr>
            <w:tcW w:w="712" w:type="dxa"/>
            <w:tcBorders>
              <w:top w:val="single" w:sz="4" w:space="0" w:color="000000"/>
              <w:left w:val="single" w:sz="4" w:space="0" w:color="000000"/>
              <w:bottom w:val="single" w:sz="4" w:space="0" w:color="000000"/>
              <w:right w:val="single" w:sz="4" w:space="0" w:color="000000"/>
            </w:tcBorders>
            <w:vAlign w:val="center"/>
          </w:tcPr>
          <w:p w14:paraId="73CB4EB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9983BFE"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0425405"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B9E0800"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08A5CD15" w14:textId="77777777" w:rsidR="00087872" w:rsidRDefault="00256B13">
            <w:pPr>
              <w:widowControl w:val="0"/>
              <w:spacing w:after="0" w:line="240" w:lineRule="auto"/>
              <w:jc w:val="center"/>
              <w:rPr>
                <w:sz w:val="20"/>
                <w:szCs w:val="20"/>
              </w:rPr>
            </w:pPr>
            <w:r>
              <w:rPr>
                <w:sz w:val="20"/>
                <w:szCs w:val="20"/>
              </w:rPr>
              <w:t>1</w:t>
            </w:r>
          </w:p>
        </w:tc>
      </w:tr>
      <w:tr w:rsidR="00087872" w14:paraId="76868866"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6FC08548" w14:textId="77777777" w:rsidR="00087872" w:rsidRDefault="00256B13">
            <w:pPr>
              <w:widowControl w:val="0"/>
              <w:spacing w:after="0" w:line="240" w:lineRule="auto"/>
              <w:jc w:val="center"/>
              <w:rPr>
                <w:sz w:val="20"/>
                <w:szCs w:val="20"/>
                <w:lang w:eastAsia="lv-LV"/>
              </w:rPr>
            </w:pPr>
            <w:r>
              <w:rPr>
                <w:sz w:val="20"/>
                <w:szCs w:val="20"/>
                <w:lang w:eastAsia="lv-LV"/>
              </w:rPr>
              <w:t>Tekstiliju ražošanas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47C5FB3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4341BA"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5C3D40C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4EA1131" w14:textId="77777777" w:rsidR="00087872" w:rsidRDefault="00256B13">
            <w:pPr>
              <w:widowControl w:val="0"/>
              <w:spacing w:after="0" w:line="240" w:lineRule="auto"/>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right w:val="single" w:sz="4" w:space="0" w:color="000000"/>
            </w:tcBorders>
            <w:vAlign w:val="center"/>
          </w:tcPr>
          <w:p w14:paraId="12A25FEB"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A46690C"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A38F7C7" w14:textId="77777777" w:rsidR="00087872" w:rsidRDefault="00256B13">
            <w:pPr>
              <w:widowControl w:val="0"/>
              <w:spacing w:after="0" w:line="240" w:lineRule="auto"/>
              <w:jc w:val="center"/>
              <w:rPr>
                <w:sz w:val="20"/>
                <w:szCs w:val="20"/>
              </w:rPr>
            </w:pPr>
            <w:r>
              <w:rPr>
                <w:sz w:val="20"/>
                <w:szCs w:val="20"/>
              </w:rPr>
              <w:t>-</w:t>
            </w:r>
          </w:p>
        </w:tc>
      </w:tr>
      <w:tr w:rsidR="00087872" w14:paraId="5A609BE4"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22B9BAE" w14:textId="77777777" w:rsidR="00087872" w:rsidRDefault="00256B13">
            <w:pPr>
              <w:widowControl w:val="0"/>
              <w:spacing w:after="0" w:line="240" w:lineRule="auto"/>
              <w:jc w:val="center"/>
              <w:rPr>
                <w:sz w:val="20"/>
                <w:szCs w:val="20"/>
                <w:lang w:eastAsia="lv-LV"/>
              </w:rPr>
            </w:pPr>
            <w:r>
              <w:rPr>
                <w:sz w:val="20"/>
                <w:szCs w:val="20"/>
                <w:lang w:eastAsia="lv-LV"/>
              </w:rPr>
              <w:t>Tērpu stila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E0027F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70A330D"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0D557189"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1F15942"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2F9ED34"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90DAE86"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CECFADB" w14:textId="77777777" w:rsidR="00087872" w:rsidRDefault="00256B13">
            <w:pPr>
              <w:widowControl w:val="0"/>
              <w:spacing w:after="0" w:line="240" w:lineRule="auto"/>
              <w:jc w:val="center"/>
              <w:rPr>
                <w:sz w:val="20"/>
                <w:szCs w:val="20"/>
              </w:rPr>
            </w:pPr>
            <w:r>
              <w:rPr>
                <w:sz w:val="20"/>
                <w:szCs w:val="20"/>
              </w:rPr>
              <w:t>-</w:t>
            </w:r>
          </w:p>
        </w:tc>
      </w:tr>
      <w:tr w:rsidR="00087872" w14:paraId="72BE0091"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7496F3E" w14:textId="77777777" w:rsidR="00087872" w:rsidRDefault="00256B13">
            <w:pPr>
              <w:widowControl w:val="0"/>
              <w:spacing w:after="0" w:line="240" w:lineRule="auto"/>
              <w:jc w:val="center"/>
              <w:rPr>
                <w:sz w:val="20"/>
                <w:szCs w:val="20"/>
                <w:lang w:eastAsia="lv-LV"/>
              </w:rPr>
            </w:pPr>
            <w:r>
              <w:rPr>
                <w:sz w:val="20"/>
                <w:szCs w:val="20"/>
                <w:lang w:eastAsia="lv-LV"/>
              </w:rPr>
              <w:t>Transportlīdzekļu krāsotājs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673D693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F9B4E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3B9DC08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DF10218"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1EA2BE3"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FA25CC9"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72CE6322" w14:textId="77777777" w:rsidR="00087872" w:rsidRDefault="00256B13">
            <w:pPr>
              <w:widowControl w:val="0"/>
              <w:spacing w:after="0" w:line="240" w:lineRule="auto"/>
              <w:jc w:val="center"/>
              <w:rPr>
                <w:sz w:val="20"/>
                <w:szCs w:val="20"/>
              </w:rPr>
            </w:pPr>
            <w:r>
              <w:rPr>
                <w:sz w:val="20"/>
                <w:szCs w:val="20"/>
              </w:rPr>
              <w:t>1</w:t>
            </w:r>
          </w:p>
        </w:tc>
      </w:tr>
      <w:tr w:rsidR="00087872" w14:paraId="24F213B7"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E28A632" w14:textId="77777777" w:rsidR="00087872" w:rsidRDefault="00256B13">
            <w:pPr>
              <w:widowControl w:val="0"/>
              <w:spacing w:after="0" w:line="240" w:lineRule="auto"/>
              <w:jc w:val="center"/>
              <w:rPr>
                <w:sz w:val="20"/>
                <w:szCs w:val="20"/>
                <w:lang w:eastAsia="lv-LV"/>
              </w:rPr>
            </w:pPr>
            <w:r>
              <w:rPr>
                <w:sz w:val="20"/>
                <w:szCs w:val="20"/>
                <w:lang w:eastAsia="lv-LV"/>
              </w:rPr>
              <w:t>Transporta vagonu tehniķis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87CBF2D"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BF1AA8"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126E7BDF"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392CF83"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22FA298"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87D5812" w14:textId="77777777" w:rsidR="00087872" w:rsidRDefault="00256B13">
            <w:pPr>
              <w:widowControl w:val="0"/>
              <w:spacing w:after="0" w:line="240" w:lineRule="auto"/>
              <w:jc w:val="center"/>
              <w:rPr>
                <w:sz w:val="20"/>
                <w:szCs w:val="20"/>
              </w:rPr>
            </w:pPr>
            <w:r>
              <w:rPr>
                <w:sz w:val="20"/>
                <w:szCs w:val="20"/>
              </w:rPr>
              <w:t>11</w:t>
            </w:r>
          </w:p>
        </w:tc>
        <w:tc>
          <w:tcPr>
            <w:tcW w:w="1133" w:type="dxa"/>
            <w:tcBorders>
              <w:top w:val="single" w:sz="4" w:space="0" w:color="000000"/>
              <w:left w:val="single" w:sz="4" w:space="0" w:color="000000"/>
              <w:bottom w:val="single" w:sz="4" w:space="0" w:color="000000"/>
              <w:right w:val="single" w:sz="4" w:space="0" w:color="000000"/>
            </w:tcBorders>
            <w:vAlign w:val="center"/>
          </w:tcPr>
          <w:p w14:paraId="1BA85C85" w14:textId="77777777" w:rsidR="00087872" w:rsidRDefault="00256B13">
            <w:pPr>
              <w:widowControl w:val="0"/>
              <w:spacing w:after="0" w:line="240" w:lineRule="auto"/>
              <w:jc w:val="center"/>
              <w:rPr>
                <w:sz w:val="20"/>
                <w:szCs w:val="20"/>
              </w:rPr>
            </w:pPr>
            <w:r>
              <w:rPr>
                <w:sz w:val="20"/>
                <w:szCs w:val="20"/>
              </w:rPr>
              <w:t>-</w:t>
            </w:r>
          </w:p>
        </w:tc>
      </w:tr>
      <w:tr w:rsidR="00087872" w14:paraId="244CB25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5EB0C33" w14:textId="77777777" w:rsidR="00087872" w:rsidRDefault="00256B13">
            <w:pPr>
              <w:widowControl w:val="0"/>
              <w:spacing w:after="0" w:line="240" w:lineRule="auto"/>
              <w:jc w:val="center"/>
              <w:rPr>
                <w:sz w:val="20"/>
                <w:szCs w:val="20"/>
                <w:lang w:eastAsia="lv-LV"/>
              </w:rPr>
            </w:pPr>
            <w:r>
              <w:rPr>
                <w:sz w:val="20"/>
                <w:szCs w:val="20"/>
                <w:lang w:eastAsia="lv-LV"/>
              </w:rPr>
              <w:t>Tūrisma pakalpojumu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553FED9F" w14:textId="77777777" w:rsidR="00087872" w:rsidRDefault="00256B13">
            <w:pPr>
              <w:widowControl w:val="0"/>
              <w:spacing w:after="0" w:line="240" w:lineRule="auto"/>
              <w:jc w:val="center"/>
              <w:rPr>
                <w:sz w:val="20"/>
                <w:szCs w:val="20"/>
                <w:lang w:eastAsia="lv-LV"/>
              </w:rPr>
            </w:pPr>
            <w:r>
              <w:rPr>
                <w:sz w:val="20"/>
                <w:szCs w:val="20"/>
                <w:lang w:eastAsia="lv-LV"/>
              </w:rPr>
              <w:t>12</w:t>
            </w:r>
          </w:p>
        </w:tc>
        <w:tc>
          <w:tcPr>
            <w:tcW w:w="708" w:type="dxa"/>
            <w:tcBorders>
              <w:top w:val="single" w:sz="4" w:space="0" w:color="000000"/>
              <w:left w:val="single" w:sz="4" w:space="0" w:color="000000"/>
              <w:bottom w:val="single" w:sz="4" w:space="0" w:color="000000"/>
              <w:right w:val="single" w:sz="4" w:space="0" w:color="000000"/>
            </w:tcBorders>
            <w:vAlign w:val="center"/>
          </w:tcPr>
          <w:p w14:paraId="108BD89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6000B494"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61C738D" w14:textId="77777777" w:rsidR="00087872" w:rsidRDefault="00256B13">
            <w:pPr>
              <w:widowControl w:val="0"/>
              <w:spacing w:after="0" w:line="240" w:lineRule="auto"/>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right w:val="single" w:sz="4" w:space="0" w:color="000000"/>
            </w:tcBorders>
            <w:vAlign w:val="center"/>
          </w:tcPr>
          <w:p w14:paraId="5C899D45"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66350FC"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B26A31F" w14:textId="77777777" w:rsidR="00087872" w:rsidRDefault="00256B13">
            <w:pPr>
              <w:widowControl w:val="0"/>
              <w:spacing w:after="0" w:line="240" w:lineRule="auto"/>
              <w:jc w:val="center"/>
              <w:rPr>
                <w:sz w:val="20"/>
                <w:szCs w:val="20"/>
              </w:rPr>
            </w:pPr>
            <w:r>
              <w:rPr>
                <w:sz w:val="20"/>
                <w:szCs w:val="20"/>
              </w:rPr>
              <w:t>-</w:t>
            </w:r>
          </w:p>
        </w:tc>
      </w:tr>
      <w:tr w:rsidR="00087872" w14:paraId="2362BF9A"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D631B96" w14:textId="77777777" w:rsidR="00087872" w:rsidRDefault="00256B13">
            <w:pPr>
              <w:widowControl w:val="0"/>
              <w:spacing w:after="0" w:line="240" w:lineRule="auto"/>
              <w:jc w:val="center"/>
              <w:rPr>
                <w:sz w:val="20"/>
                <w:szCs w:val="20"/>
                <w:lang w:eastAsia="lv-LV"/>
              </w:rPr>
            </w:pPr>
            <w:r>
              <w:rPr>
                <w:sz w:val="20"/>
                <w:szCs w:val="20"/>
                <w:lang w:eastAsia="lv-LV"/>
              </w:rPr>
              <w:t>Tūrisma informācijas konsultants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4E260AC1"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4776FF9" w14:textId="77777777" w:rsidR="00087872" w:rsidRDefault="00256B13">
            <w:pPr>
              <w:widowControl w:val="0"/>
              <w:spacing w:after="0" w:line="240" w:lineRule="auto"/>
              <w:jc w:val="center"/>
              <w:rPr>
                <w:sz w:val="20"/>
                <w:szCs w:val="20"/>
                <w:lang w:eastAsia="lv-LV"/>
              </w:rPr>
            </w:pPr>
            <w:r>
              <w:rPr>
                <w:sz w:val="20"/>
                <w:szCs w:val="20"/>
                <w:lang w:eastAsia="lv-LV"/>
              </w:rPr>
              <w:t>14</w:t>
            </w:r>
          </w:p>
        </w:tc>
        <w:tc>
          <w:tcPr>
            <w:tcW w:w="712" w:type="dxa"/>
            <w:tcBorders>
              <w:top w:val="single" w:sz="4" w:space="0" w:color="000000"/>
              <w:left w:val="single" w:sz="4" w:space="0" w:color="000000"/>
              <w:bottom w:val="single" w:sz="4" w:space="0" w:color="000000"/>
              <w:right w:val="single" w:sz="4" w:space="0" w:color="000000"/>
            </w:tcBorders>
            <w:vAlign w:val="center"/>
          </w:tcPr>
          <w:p w14:paraId="150F5F7A" w14:textId="77777777" w:rsidR="00087872" w:rsidRDefault="00256B13">
            <w:pPr>
              <w:widowControl w:val="0"/>
              <w:spacing w:after="0" w:line="240" w:lineRule="auto"/>
              <w:jc w:val="center"/>
              <w:rPr>
                <w:sz w:val="20"/>
                <w:szCs w:val="20"/>
                <w:lang w:eastAsia="lv-LV"/>
              </w:rPr>
            </w:pPr>
            <w:r>
              <w:rPr>
                <w:sz w:val="20"/>
                <w:szCs w:val="20"/>
                <w:lang w:eastAsia="lv-LV"/>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09CE91C2" w14:textId="77777777" w:rsidR="00087872" w:rsidRDefault="00256B13">
            <w:pPr>
              <w:widowControl w:val="0"/>
              <w:spacing w:after="0" w:line="240" w:lineRule="auto"/>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54BA6910"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E5D5D63"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ED458E3" w14:textId="77777777" w:rsidR="00087872" w:rsidRDefault="00256B13">
            <w:pPr>
              <w:widowControl w:val="0"/>
              <w:spacing w:after="0" w:line="240" w:lineRule="auto"/>
              <w:jc w:val="center"/>
              <w:rPr>
                <w:sz w:val="20"/>
                <w:szCs w:val="20"/>
              </w:rPr>
            </w:pPr>
            <w:r>
              <w:rPr>
                <w:sz w:val="20"/>
                <w:szCs w:val="20"/>
              </w:rPr>
              <w:t>-</w:t>
            </w:r>
          </w:p>
        </w:tc>
      </w:tr>
      <w:tr w:rsidR="00087872" w14:paraId="37FEF183"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E5D4732" w14:textId="77777777" w:rsidR="00087872" w:rsidRDefault="00256B13">
            <w:pPr>
              <w:widowControl w:val="0"/>
              <w:spacing w:after="0" w:line="240" w:lineRule="auto"/>
              <w:jc w:val="center"/>
              <w:rPr>
                <w:sz w:val="20"/>
                <w:szCs w:val="20"/>
                <w:lang w:eastAsia="lv-LV"/>
              </w:rPr>
            </w:pPr>
            <w:r>
              <w:rPr>
                <w:sz w:val="20"/>
                <w:szCs w:val="20"/>
                <w:lang w:eastAsia="lv-LV"/>
              </w:rPr>
              <w:t>Ugunsdzēsības un glābšanas dienesta ugunsdzēsējs glābējs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B81113E" w14:textId="77777777" w:rsidR="00087872" w:rsidRDefault="00256B13">
            <w:pPr>
              <w:widowControl w:val="0"/>
              <w:spacing w:after="0" w:line="240" w:lineRule="auto"/>
              <w:jc w:val="center"/>
              <w:rPr>
                <w:sz w:val="20"/>
                <w:szCs w:val="20"/>
                <w:lang w:eastAsia="lv-LV"/>
              </w:rPr>
            </w:pPr>
            <w:r>
              <w:rPr>
                <w:sz w:val="20"/>
                <w:szCs w:val="20"/>
                <w:lang w:eastAsia="lv-LV"/>
              </w:rPr>
              <w:t>387</w:t>
            </w:r>
          </w:p>
        </w:tc>
        <w:tc>
          <w:tcPr>
            <w:tcW w:w="708" w:type="dxa"/>
            <w:tcBorders>
              <w:top w:val="single" w:sz="4" w:space="0" w:color="000000"/>
              <w:left w:val="single" w:sz="4" w:space="0" w:color="000000"/>
              <w:bottom w:val="single" w:sz="4" w:space="0" w:color="000000"/>
              <w:right w:val="single" w:sz="4" w:space="0" w:color="000000"/>
            </w:tcBorders>
            <w:vAlign w:val="center"/>
          </w:tcPr>
          <w:p w14:paraId="217F6DB0" w14:textId="77777777" w:rsidR="00087872" w:rsidRDefault="00256B13">
            <w:pPr>
              <w:widowControl w:val="0"/>
              <w:spacing w:after="0" w:line="240" w:lineRule="auto"/>
              <w:jc w:val="center"/>
              <w:rPr>
                <w:sz w:val="20"/>
                <w:szCs w:val="20"/>
                <w:lang w:eastAsia="lv-LV"/>
              </w:rPr>
            </w:pPr>
            <w:r>
              <w:rPr>
                <w:sz w:val="20"/>
                <w:szCs w:val="20"/>
                <w:lang w:eastAsia="lv-LV"/>
              </w:rPr>
              <w:t>92</w:t>
            </w:r>
          </w:p>
        </w:tc>
        <w:tc>
          <w:tcPr>
            <w:tcW w:w="712" w:type="dxa"/>
            <w:tcBorders>
              <w:top w:val="single" w:sz="4" w:space="0" w:color="000000"/>
              <w:left w:val="single" w:sz="4" w:space="0" w:color="000000"/>
              <w:bottom w:val="single" w:sz="4" w:space="0" w:color="000000"/>
              <w:right w:val="single" w:sz="4" w:space="0" w:color="000000"/>
            </w:tcBorders>
            <w:vAlign w:val="center"/>
          </w:tcPr>
          <w:p w14:paraId="309FBDA6" w14:textId="77777777" w:rsidR="00087872" w:rsidRDefault="00256B13">
            <w:pPr>
              <w:widowControl w:val="0"/>
              <w:spacing w:after="0" w:line="240" w:lineRule="auto"/>
              <w:jc w:val="center"/>
              <w:rPr>
                <w:sz w:val="20"/>
                <w:szCs w:val="20"/>
                <w:lang w:eastAsia="lv-LV"/>
              </w:rPr>
            </w:pPr>
            <w:r>
              <w:rPr>
                <w:sz w:val="20"/>
                <w:szCs w:val="20"/>
                <w:lang w:eastAsia="lv-LV"/>
              </w:rPr>
              <w:t>7</w:t>
            </w:r>
          </w:p>
        </w:tc>
        <w:tc>
          <w:tcPr>
            <w:tcW w:w="708" w:type="dxa"/>
            <w:tcBorders>
              <w:top w:val="single" w:sz="4" w:space="0" w:color="000000"/>
              <w:left w:val="single" w:sz="4" w:space="0" w:color="000000"/>
              <w:bottom w:val="single" w:sz="4" w:space="0" w:color="000000"/>
              <w:right w:val="single" w:sz="4" w:space="0" w:color="000000"/>
            </w:tcBorders>
            <w:vAlign w:val="center"/>
          </w:tcPr>
          <w:p w14:paraId="7B3B526E" w14:textId="77777777" w:rsidR="00087872" w:rsidRDefault="00256B13">
            <w:pPr>
              <w:widowControl w:val="0"/>
              <w:spacing w:after="0" w:line="240" w:lineRule="auto"/>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right w:val="single" w:sz="4" w:space="0" w:color="000000"/>
            </w:tcBorders>
            <w:vAlign w:val="center"/>
          </w:tcPr>
          <w:p w14:paraId="2DD650F4"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1EC7863"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7D315FA" w14:textId="77777777" w:rsidR="00087872" w:rsidRDefault="00256B13">
            <w:pPr>
              <w:widowControl w:val="0"/>
              <w:spacing w:after="0" w:line="240" w:lineRule="auto"/>
              <w:jc w:val="center"/>
              <w:rPr>
                <w:sz w:val="20"/>
                <w:szCs w:val="20"/>
              </w:rPr>
            </w:pPr>
            <w:r>
              <w:rPr>
                <w:sz w:val="20"/>
                <w:szCs w:val="20"/>
              </w:rPr>
              <w:t>-</w:t>
            </w:r>
          </w:p>
        </w:tc>
      </w:tr>
      <w:tr w:rsidR="00087872" w14:paraId="5F621351"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A83F253" w14:textId="77777777" w:rsidR="00087872" w:rsidRDefault="00256B13">
            <w:pPr>
              <w:widowControl w:val="0"/>
              <w:spacing w:after="0" w:line="240" w:lineRule="auto"/>
              <w:jc w:val="center"/>
              <w:rPr>
                <w:sz w:val="20"/>
                <w:szCs w:val="20"/>
                <w:lang w:eastAsia="lv-LV"/>
              </w:rPr>
            </w:pPr>
            <w:r>
              <w:rPr>
                <w:sz w:val="20"/>
                <w:szCs w:val="20"/>
                <w:lang w:eastAsia="lv-LV"/>
              </w:rPr>
              <w:t>Valsts policijas jaunākais inspektors (2)</w:t>
            </w:r>
          </w:p>
        </w:tc>
        <w:tc>
          <w:tcPr>
            <w:tcW w:w="568" w:type="dxa"/>
            <w:tcBorders>
              <w:top w:val="single" w:sz="4" w:space="0" w:color="000000"/>
              <w:left w:val="single" w:sz="4" w:space="0" w:color="000000"/>
              <w:bottom w:val="single" w:sz="4" w:space="0" w:color="000000"/>
              <w:right w:val="single" w:sz="4" w:space="0" w:color="000000"/>
            </w:tcBorders>
            <w:vAlign w:val="center"/>
          </w:tcPr>
          <w:p w14:paraId="42F43BC9" w14:textId="77777777" w:rsidR="00087872" w:rsidRDefault="00256B13">
            <w:pPr>
              <w:widowControl w:val="0"/>
              <w:spacing w:after="0" w:line="240" w:lineRule="auto"/>
              <w:jc w:val="center"/>
              <w:rPr>
                <w:sz w:val="20"/>
                <w:szCs w:val="20"/>
                <w:lang w:eastAsia="lv-LV"/>
              </w:rPr>
            </w:pPr>
            <w:r>
              <w:rPr>
                <w:sz w:val="20"/>
                <w:szCs w:val="20"/>
                <w:lang w:eastAsia="lv-LV"/>
              </w:rPr>
              <w:t>112</w:t>
            </w:r>
          </w:p>
        </w:tc>
        <w:tc>
          <w:tcPr>
            <w:tcW w:w="708" w:type="dxa"/>
            <w:tcBorders>
              <w:top w:val="single" w:sz="4" w:space="0" w:color="000000"/>
              <w:left w:val="single" w:sz="4" w:space="0" w:color="000000"/>
              <w:bottom w:val="single" w:sz="4" w:space="0" w:color="000000"/>
              <w:right w:val="single" w:sz="4" w:space="0" w:color="000000"/>
            </w:tcBorders>
            <w:vAlign w:val="center"/>
          </w:tcPr>
          <w:p w14:paraId="2EA65B7F" w14:textId="77777777" w:rsidR="00087872" w:rsidRDefault="00256B13">
            <w:pPr>
              <w:widowControl w:val="0"/>
              <w:spacing w:after="0" w:line="240" w:lineRule="auto"/>
              <w:jc w:val="center"/>
              <w:rPr>
                <w:sz w:val="20"/>
                <w:szCs w:val="20"/>
                <w:lang w:eastAsia="lv-LV"/>
              </w:rPr>
            </w:pPr>
            <w:r>
              <w:rPr>
                <w:sz w:val="20"/>
                <w:szCs w:val="20"/>
                <w:lang w:eastAsia="lv-LV"/>
              </w:rPr>
              <w:t>150</w:t>
            </w:r>
          </w:p>
        </w:tc>
        <w:tc>
          <w:tcPr>
            <w:tcW w:w="712" w:type="dxa"/>
            <w:tcBorders>
              <w:top w:val="single" w:sz="4" w:space="0" w:color="000000"/>
              <w:left w:val="single" w:sz="4" w:space="0" w:color="000000"/>
              <w:bottom w:val="single" w:sz="4" w:space="0" w:color="000000"/>
              <w:right w:val="single" w:sz="4" w:space="0" w:color="000000"/>
            </w:tcBorders>
            <w:vAlign w:val="center"/>
          </w:tcPr>
          <w:p w14:paraId="3F10E9EF" w14:textId="77777777" w:rsidR="00087872" w:rsidRDefault="00256B13">
            <w:pPr>
              <w:widowControl w:val="0"/>
              <w:spacing w:after="0" w:line="240" w:lineRule="auto"/>
              <w:jc w:val="center"/>
              <w:rPr>
                <w:sz w:val="20"/>
                <w:szCs w:val="20"/>
                <w:lang w:eastAsia="lv-LV"/>
              </w:rPr>
            </w:pPr>
            <w:r>
              <w:rPr>
                <w:sz w:val="20"/>
                <w:szCs w:val="20"/>
                <w:lang w:eastAsia="lv-LV"/>
              </w:rPr>
              <w:t>148</w:t>
            </w:r>
          </w:p>
        </w:tc>
        <w:tc>
          <w:tcPr>
            <w:tcW w:w="708" w:type="dxa"/>
            <w:tcBorders>
              <w:top w:val="single" w:sz="4" w:space="0" w:color="000000"/>
              <w:left w:val="single" w:sz="4" w:space="0" w:color="000000"/>
              <w:bottom w:val="single" w:sz="4" w:space="0" w:color="000000"/>
              <w:right w:val="single" w:sz="4" w:space="0" w:color="000000"/>
            </w:tcBorders>
            <w:vAlign w:val="center"/>
          </w:tcPr>
          <w:p w14:paraId="06EB44A7" w14:textId="77777777" w:rsidR="00087872" w:rsidRDefault="00256B13">
            <w:pPr>
              <w:widowControl w:val="0"/>
              <w:spacing w:after="0" w:line="240" w:lineRule="auto"/>
              <w:jc w:val="center"/>
              <w:rPr>
                <w:sz w:val="20"/>
                <w:szCs w:val="20"/>
              </w:rPr>
            </w:pPr>
            <w:r>
              <w:rPr>
                <w:sz w:val="20"/>
                <w:szCs w:val="20"/>
              </w:rPr>
              <w:t>85</w:t>
            </w:r>
          </w:p>
        </w:tc>
        <w:tc>
          <w:tcPr>
            <w:tcW w:w="707" w:type="dxa"/>
            <w:tcBorders>
              <w:top w:val="single" w:sz="4" w:space="0" w:color="000000"/>
              <w:left w:val="single" w:sz="4" w:space="0" w:color="000000"/>
              <w:bottom w:val="single" w:sz="4" w:space="0" w:color="000000"/>
              <w:right w:val="single" w:sz="4" w:space="0" w:color="000000"/>
            </w:tcBorders>
            <w:vAlign w:val="center"/>
          </w:tcPr>
          <w:p w14:paraId="0AB57172" w14:textId="77777777" w:rsidR="00087872" w:rsidRDefault="00256B13">
            <w:pPr>
              <w:widowControl w:val="0"/>
              <w:spacing w:after="0" w:line="240" w:lineRule="auto"/>
              <w:jc w:val="center"/>
              <w:rPr>
                <w:sz w:val="20"/>
                <w:szCs w:val="20"/>
              </w:rPr>
            </w:pPr>
            <w:r>
              <w:rPr>
                <w:sz w:val="20"/>
                <w:szCs w:val="20"/>
              </w:rPr>
              <w:t>23</w:t>
            </w:r>
          </w:p>
        </w:tc>
        <w:tc>
          <w:tcPr>
            <w:tcW w:w="851" w:type="dxa"/>
            <w:tcBorders>
              <w:top w:val="single" w:sz="4" w:space="0" w:color="000000"/>
              <w:left w:val="single" w:sz="4" w:space="0" w:color="000000"/>
              <w:bottom w:val="single" w:sz="4" w:space="0" w:color="000000"/>
              <w:right w:val="single" w:sz="4" w:space="0" w:color="000000"/>
            </w:tcBorders>
            <w:vAlign w:val="center"/>
          </w:tcPr>
          <w:p w14:paraId="6DCDCD6C" w14:textId="77777777" w:rsidR="00087872" w:rsidRDefault="00256B13">
            <w:pPr>
              <w:widowControl w:val="0"/>
              <w:spacing w:after="0" w:line="240" w:lineRule="auto"/>
              <w:jc w:val="center"/>
              <w:rPr>
                <w:sz w:val="20"/>
                <w:szCs w:val="20"/>
              </w:rPr>
            </w:pPr>
            <w:r>
              <w:rPr>
                <w:sz w:val="20"/>
                <w:szCs w:val="20"/>
              </w:rPr>
              <w:t>17</w:t>
            </w:r>
          </w:p>
        </w:tc>
        <w:tc>
          <w:tcPr>
            <w:tcW w:w="1133" w:type="dxa"/>
            <w:tcBorders>
              <w:top w:val="single" w:sz="4" w:space="0" w:color="000000"/>
              <w:left w:val="single" w:sz="4" w:space="0" w:color="000000"/>
              <w:bottom w:val="single" w:sz="4" w:space="0" w:color="000000"/>
              <w:right w:val="single" w:sz="4" w:space="0" w:color="000000"/>
            </w:tcBorders>
            <w:vAlign w:val="center"/>
          </w:tcPr>
          <w:p w14:paraId="0B4E8C1E" w14:textId="77777777" w:rsidR="00087872" w:rsidRDefault="00256B13">
            <w:pPr>
              <w:widowControl w:val="0"/>
              <w:spacing w:after="0" w:line="240" w:lineRule="auto"/>
              <w:jc w:val="center"/>
              <w:rPr>
                <w:sz w:val="20"/>
                <w:szCs w:val="20"/>
              </w:rPr>
            </w:pPr>
            <w:r>
              <w:rPr>
                <w:sz w:val="20"/>
                <w:szCs w:val="20"/>
              </w:rPr>
              <w:t>15</w:t>
            </w:r>
          </w:p>
        </w:tc>
      </w:tr>
      <w:tr w:rsidR="00087872" w14:paraId="5DFEC6E3"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508C0203" w14:textId="77777777" w:rsidR="00087872" w:rsidRDefault="00256B13">
            <w:pPr>
              <w:widowControl w:val="0"/>
              <w:spacing w:after="0" w:line="240" w:lineRule="auto"/>
              <w:jc w:val="center"/>
              <w:rPr>
                <w:sz w:val="20"/>
                <w:szCs w:val="20"/>
                <w:lang w:eastAsia="lv-LV"/>
              </w:rPr>
            </w:pPr>
            <w:r>
              <w:rPr>
                <w:sz w:val="20"/>
                <w:szCs w:val="20"/>
                <w:lang w:eastAsia="lv-LV"/>
              </w:rPr>
              <w:t>Valsts robežsardzes inspektors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6360309" w14:textId="77777777" w:rsidR="00087872" w:rsidRDefault="00256B13">
            <w:pPr>
              <w:widowControl w:val="0"/>
              <w:spacing w:after="0" w:line="240" w:lineRule="auto"/>
              <w:jc w:val="center"/>
              <w:rPr>
                <w:sz w:val="20"/>
                <w:szCs w:val="20"/>
                <w:lang w:eastAsia="lv-LV"/>
              </w:rPr>
            </w:pPr>
            <w:r>
              <w:rPr>
                <w:sz w:val="20"/>
                <w:szCs w:val="20"/>
                <w:lang w:eastAsia="lv-LV"/>
              </w:rPr>
              <w:t>99</w:t>
            </w:r>
          </w:p>
        </w:tc>
        <w:tc>
          <w:tcPr>
            <w:tcW w:w="708" w:type="dxa"/>
            <w:tcBorders>
              <w:top w:val="single" w:sz="4" w:space="0" w:color="000000"/>
              <w:left w:val="single" w:sz="4" w:space="0" w:color="000000"/>
              <w:bottom w:val="single" w:sz="4" w:space="0" w:color="000000"/>
              <w:right w:val="single" w:sz="4" w:space="0" w:color="000000"/>
            </w:tcBorders>
            <w:vAlign w:val="center"/>
          </w:tcPr>
          <w:p w14:paraId="011F30DD" w14:textId="77777777" w:rsidR="00087872" w:rsidRDefault="00256B13">
            <w:pPr>
              <w:widowControl w:val="0"/>
              <w:spacing w:after="0" w:line="240" w:lineRule="auto"/>
              <w:jc w:val="center"/>
              <w:rPr>
                <w:sz w:val="20"/>
                <w:szCs w:val="20"/>
                <w:lang w:eastAsia="lv-LV"/>
              </w:rPr>
            </w:pPr>
            <w:r>
              <w:rPr>
                <w:sz w:val="20"/>
                <w:szCs w:val="20"/>
                <w:lang w:eastAsia="lv-LV"/>
              </w:rPr>
              <w:t>9</w:t>
            </w:r>
          </w:p>
        </w:tc>
        <w:tc>
          <w:tcPr>
            <w:tcW w:w="712" w:type="dxa"/>
            <w:tcBorders>
              <w:top w:val="single" w:sz="4" w:space="0" w:color="000000"/>
              <w:left w:val="single" w:sz="4" w:space="0" w:color="000000"/>
              <w:bottom w:val="single" w:sz="4" w:space="0" w:color="000000"/>
              <w:right w:val="single" w:sz="4" w:space="0" w:color="000000"/>
            </w:tcBorders>
            <w:vAlign w:val="center"/>
          </w:tcPr>
          <w:p w14:paraId="24A2316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4F03B4"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B4E0551"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B2ECC77"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D66DB7B" w14:textId="77777777" w:rsidR="00087872" w:rsidRDefault="00256B13">
            <w:pPr>
              <w:widowControl w:val="0"/>
              <w:spacing w:after="0" w:line="240" w:lineRule="auto"/>
              <w:jc w:val="center"/>
              <w:rPr>
                <w:sz w:val="20"/>
                <w:szCs w:val="20"/>
              </w:rPr>
            </w:pPr>
            <w:r>
              <w:rPr>
                <w:sz w:val="20"/>
                <w:szCs w:val="20"/>
              </w:rPr>
              <w:t>15</w:t>
            </w:r>
          </w:p>
        </w:tc>
      </w:tr>
      <w:tr w:rsidR="00087872" w14:paraId="08318F4F"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1220DE11" w14:textId="77777777" w:rsidR="00087872" w:rsidRDefault="00256B13">
            <w:pPr>
              <w:widowControl w:val="0"/>
              <w:spacing w:after="0" w:line="240" w:lineRule="auto"/>
              <w:jc w:val="center"/>
              <w:rPr>
                <w:sz w:val="20"/>
                <w:szCs w:val="20"/>
                <w:lang w:eastAsia="lv-LV"/>
              </w:rPr>
            </w:pPr>
            <w:r>
              <w:rPr>
                <w:sz w:val="20"/>
                <w:szCs w:val="20"/>
                <w:lang w:eastAsia="lv-LV"/>
              </w:rPr>
              <w:t>Veterinārārsta asistents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1F3DF5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3CC9434"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6A5E692D" w14:textId="77777777" w:rsidR="00087872" w:rsidRDefault="00256B13">
            <w:pPr>
              <w:widowControl w:val="0"/>
              <w:spacing w:after="0" w:line="240" w:lineRule="auto"/>
              <w:jc w:val="center"/>
              <w:rPr>
                <w:sz w:val="20"/>
                <w:szCs w:val="20"/>
                <w:lang w:eastAsia="lv-LV"/>
              </w:rPr>
            </w:pPr>
            <w:r>
              <w:rPr>
                <w:sz w:val="20"/>
                <w:szCs w:val="20"/>
                <w:lang w:eastAsia="lv-LV"/>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2F5DED4"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D72520A"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5C24078" w14:textId="77777777" w:rsidR="00087872" w:rsidRDefault="00256B13">
            <w:pPr>
              <w:widowControl w:val="0"/>
              <w:spacing w:after="0" w:line="240" w:lineRule="auto"/>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14:paraId="183018BB" w14:textId="77777777" w:rsidR="00087872" w:rsidRDefault="00256B13">
            <w:pPr>
              <w:widowControl w:val="0"/>
              <w:spacing w:after="0" w:line="240" w:lineRule="auto"/>
              <w:jc w:val="center"/>
              <w:rPr>
                <w:sz w:val="20"/>
                <w:szCs w:val="20"/>
              </w:rPr>
            </w:pPr>
            <w:r>
              <w:rPr>
                <w:sz w:val="20"/>
                <w:szCs w:val="20"/>
              </w:rPr>
              <w:t>3</w:t>
            </w:r>
          </w:p>
        </w:tc>
      </w:tr>
      <w:tr w:rsidR="00087872" w14:paraId="3C6FBEA2"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70538736" w14:textId="77777777" w:rsidR="00087872" w:rsidRDefault="00256B13">
            <w:pPr>
              <w:widowControl w:val="0"/>
              <w:spacing w:after="0" w:line="240" w:lineRule="auto"/>
              <w:jc w:val="center"/>
              <w:rPr>
                <w:sz w:val="20"/>
                <w:szCs w:val="20"/>
                <w:lang w:eastAsia="lv-LV"/>
              </w:rPr>
            </w:pPr>
            <w:r>
              <w:rPr>
                <w:sz w:val="20"/>
                <w:szCs w:val="20"/>
                <w:lang w:eastAsia="lv-LV"/>
              </w:rPr>
              <w:t>Video operators (3)</w:t>
            </w:r>
          </w:p>
        </w:tc>
        <w:tc>
          <w:tcPr>
            <w:tcW w:w="568" w:type="dxa"/>
            <w:tcBorders>
              <w:top w:val="single" w:sz="4" w:space="0" w:color="000000"/>
              <w:left w:val="single" w:sz="4" w:space="0" w:color="000000"/>
              <w:bottom w:val="single" w:sz="4" w:space="0" w:color="000000"/>
              <w:right w:val="single" w:sz="4" w:space="0" w:color="000000"/>
            </w:tcBorders>
            <w:vAlign w:val="center"/>
          </w:tcPr>
          <w:p w14:paraId="4F7727B0"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93A7B8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43A2D0A6"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82B56E1"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1B0E922"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AEC6656"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A1ED8CA" w14:textId="77777777" w:rsidR="00087872" w:rsidRDefault="00256B13">
            <w:pPr>
              <w:widowControl w:val="0"/>
              <w:spacing w:after="0" w:line="240" w:lineRule="auto"/>
              <w:jc w:val="center"/>
              <w:rPr>
                <w:sz w:val="20"/>
                <w:szCs w:val="20"/>
              </w:rPr>
            </w:pPr>
            <w:r>
              <w:rPr>
                <w:sz w:val="20"/>
                <w:szCs w:val="20"/>
              </w:rPr>
              <w:t>-</w:t>
            </w:r>
          </w:p>
        </w:tc>
      </w:tr>
      <w:tr w:rsidR="00087872" w14:paraId="3B362593"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5F1335B" w14:textId="77777777" w:rsidR="00087872" w:rsidRDefault="00256B13">
            <w:pPr>
              <w:widowControl w:val="0"/>
              <w:spacing w:after="0" w:line="240" w:lineRule="auto"/>
              <w:jc w:val="center"/>
              <w:rPr>
                <w:sz w:val="20"/>
                <w:szCs w:val="20"/>
                <w:lang w:eastAsia="lv-LV"/>
              </w:rPr>
            </w:pPr>
            <w:r>
              <w:rPr>
                <w:sz w:val="20"/>
                <w:szCs w:val="20"/>
                <w:lang w:eastAsia="lv-LV"/>
              </w:rPr>
              <w:t>Viesmīlības pakalpojumu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14BF01E" w14:textId="77777777" w:rsidR="00087872" w:rsidRDefault="00256B13">
            <w:pPr>
              <w:widowControl w:val="0"/>
              <w:spacing w:after="0" w:line="240" w:lineRule="auto"/>
              <w:jc w:val="center"/>
              <w:rPr>
                <w:sz w:val="20"/>
                <w:szCs w:val="20"/>
                <w:lang w:eastAsia="lv-LV"/>
              </w:rPr>
            </w:pPr>
            <w:r>
              <w:rPr>
                <w:sz w:val="20"/>
                <w:szCs w:val="20"/>
                <w:lang w:eastAsia="lv-LV"/>
              </w:rPr>
              <w:t>9</w:t>
            </w:r>
          </w:p>
        </w:tc>
        <w:tc>
          <w:tcPr>
            <w:tcW w:w="708" w:type="dxa"/>
            <w:tcBorders>
              <w:top w:val="single" w:sz="4" w:space="0" w:color="000000"/>
              <w:left w:val="single" w:sz="4" w:space="0" w:color="000000"/>
              <w:bottom w:val="single" w:sz="4" w:space="0" w:color="000000"/>
              <w:right w:val="single" w:sz="4" w:space="0" w:color="000000"/>
            </w:tcBorders>
            <w:vAlign w:val="center"/>
          </w:tcPr>
          <w:p w14:paraId="4947825E" w14:textId="77777777" w:rsidR="00087872" w:rsidRDefault="00256B13">
            <w:pPr>
              <w:widowControl w:val="0"/>
              <w:spacing w:after="0" w:line="240" w:lineRule="auto"/>
              <w:jc w:val="center"/>
              <w:rPr>
                <w:sz w:val="20"/>
                <w:szCs w:val="20"/>
                <w:lang w:eastAsia="lv-LV"/>
              </w:rPr>
            </w:pPr>
            <w:r>
              <w:rPr>
                <w:sz w:val="20"/>
                <w:szCs w:val="20"/>
                <w:lang w:eastAsia="lv-LV"/>
              </w:rPr>
              <w:t>7</w:t>
            </w:r>
          </w:p>
        </w:tc>
        <w:tc>
          <w:tcPr>
            <w:tcW w:w="712" w:type="dxa"/>
            <w:tcBorders>
              <w:top w:val="single" w:sz="4" w:space="0" w:color="000000"/>
              <w:left w:val="single" w:sz="4" w:space="0" w:color="000000"/>
              <w:bottom w:val="single" w:sz="4" w:space="0" w:color="000000"/>
              <w:right w:val="single" w:sz="4" w:space="0" w:color="000000"/>
            </w:tcBorders>
            <w:vAlign w:val="center"/>
          </w:tcPr>
          <w:p w14:paraId="57613753" w14:textId="77777777" w:rsidR="00087872" w:rsidRDefault="00256B13">
            <w:pPr>
              <w:widowControl w:val="0"/>
              <w:spacing w:after="0" w:line="240" w:lineRule="auto"/>
              <w:jc w:val="center"/>
              <w:rPr>
                <w:sz w:val="20"/>
                <w:szCs w:val="20"/>
                <w:lang w:eastAsia="lv-LV"/>
              </w:rPr>
            </w:pPr>
            <w:r>
              <w:rPr>
                <w:sz w:val="20"/>
                <w:szCs w:val="20"/>
                <w:lang w:eastAsia="lv-LV"/>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47944990"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ED6EE0F"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67779A3" w14:textId="77777777" w:rsidR="00087872" w:rsidRDefault="00256B13">
            <w:pPr>
              <w:widowControl w:val="0"/>
              <w:spacing w:after="0" w:line="240" w:lineRule="auto"/>
              <w:jc w:val="center"/>
              <w:rPr>
                <w:sz w:val="20"/>
                <w:szCs w:val="20"/>
              </w:rPr>
            </w:pPr>
            <w:r>
              <w:rPr>
                <w:sz w:val="20"/>
                <w:szCs w:val="20"/>
              </w:rPr>
              <w:t>4</w:t>
            </w:r>
          </w:p>
        </w:tc>
        <w:tc>
          <w:tcPr>
            <w:tcW w:w="1133" w:type="dxa"/>
            <w:tcBorders>
              <w:top w:val="single" w:sz="4" w:space="0" w:color="000000"/>
              <w:left w:val="single" w:sz="4" w:space="0" w:color="000000"/>
              <w:bottom w:val="single" w:sz="4" w:space="0" w:color="000000"/>
              <w:right w:val="single" w:sz="4" w:space="0" w:color="000000"/>
            </w:tcBorders>
            <w:vAlign w:val="center"/>
          </w:tcPr>
          <w:p w14:paraId="208220EF" w14:textId="77777777" w:rsidR="00087872" w:rsidRDefault="00256B13">
            <w:pPr>
              <w:widowControl w:val="0"/>
              <w:spacing w:after="0" w:line="240" w:lineRule="auto"/>
              <w:jc w:val="center"/>
              <w:rPr>
                <w:sz w:val="20"/>
                <w:szCs w:val="20"/>
              </w:rPr>
            </w:pPr>
            <w:r>
              <w:rPr>
                <w:sz w:val="20"/>
                <w:szCs w:val="20"/>
              </w:rPr>
              <w:t>-</w:t>
            </w:r>
          </w:p>
        </w:tc>
      </w:tr>
      <w:tr w:rsidR="00087872" w14:paraId="69502E22"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74C4D73" w14:textId="77777777" w:rsidR="00087872" w:rsidRDefault="00256B13">
            <w:pPr>
              <w:widowControl w:val="0"/>
              <w:spacing w:after="0" w:line="240" w:lineRule="auto"/>
              <w:jc w:val="center"/>
              <w:rPr>
                <w:sz w:val="20"/>
                <w:szCs w:val="20"/>
                <w:lang w:eastAsia="lv-LV"/>
              </w:rPr>
            </w:pPr>
            <w:r>
              <w:rPr>
                <w:sz w:val="20"/>
                <w:szCs w:val="20"/>
                <w:lang w:eastAsia="lv-LV"/>
              </w:rPr>
              <w:t>Viesnīcu pakalpojumu speciālists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3543EE79"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A206C8E" w14:textId="77777777" w:rsidR="00087872" w:rsidRDefault="00256B13">
            <w:pPr>
              <w:widowControl w:val="0"/>
              <w:spacing w:after="0" w:line="240" w:lineRule="auto"/>
              <w:jc w:val="center"/>
              <w:rPr>
                <w:sz w:val="20"/>
                <w:szCs w:val="20"/>
                <w:lang w:eastAsia="lv-LV"/>
              </w:rPr>
            </w:pPr>
            <w:r>
              <w:rPr>
                <w:sz w:val="20"/>
                <w:szCs w:val="20"/>
                <w:lang w:eastAsia="lv-LV"/>
              </w:rPr>
              <w:t>12</w:t>
            </w:r>
          </w:p>
        </w:tc>
        <w:tc>
          <w:tcPr>
            <w:tcW w:w="712" w:type="dxa"/>
            <w:tcBorders>
              <w:top w:val="single" w:sz="4" w:space="0" w:color="000000"/>
              <w:left w:val="single" w:sz="4" w:space="0" w:color="000000"/>
              <w:bottom w:val="single" w:sz="4" w:space="0" w:color="000000"/>
              <w:right w:val="single" w:sz="4" w:space="0" w:color="000000"/>
            </w:tcBorders>
            <w:vAlign w:val="center"/>
          </w:tcPr>
          <w:p w14:paraId="18F139D6" w14:textId="77777777" w:rsidR="00087872" w:rsidRDefault="00256B13">
            <w:pPr>
              <w:widowControl w:val="0"/>
              <w:spacing w:after="0" w:line="240" w:lineRule="auto"/>
              <w:jc w:val="center"/>
              <w:rPr>
                <w:sz w:val="20"/>
                <w:szCs w:val="20"/>
                <w:lang w:eastAsia="lv-LV"/>
              </w:rPr>
            </w:pPr>
            <w:r>
              <w:rPr>
                <w:sz w:val="20"/>
                <w:szCs w:val="20"/>
                <w:lang w:eastAsia="lv-LV"/>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79448DB2"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5FCE664"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21F6690" w14:textId="77777777" w:rsidR="00087872" w:rsidRDefault="00256B13">
            <w:pPr>
              <w:widowControl w:val="0"/>
              <w:spacing w:after="0" w:line="240" w:lineRule="auto"/>
              <w:jc w:val="center"/>
              <w:rPr>
                <w:sz w:val="20"/>
                <w:szCs w:val="20"/>
              </w:rPr>
            </w:pPr>
            <w:r>
              <w:rPr>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69AE9327" w14:textId="77777777" w:rsidR="00087872" w:rsidRDefault="00256B13">
            <w:pPr>
              <w:widowControl w:val="0"/>
              <w:spacing w:after="0" w:line="240" w:lineRule="auto"/>
              <w:jc w:val="center"/>
              <w:rPr>
                <w:sz w:val="20"/>
                <w:szCs w:val="20"/>
              </w:rPr>
            </w:pPr>
            <w:r>
              <w:rPr>
                <w:sz w:val="20"/>
                <w:szCs w:val="20"/>
              </w:rPr>
              <w:t>-</w:t>
            </w:r>
          </w:p>
        </w:tc>
      </w:tr>
      <w:tr w:rsidR="00087872" w14:paraId="5E0F629B"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406CEEE" w14:textId="77777777" w:rsidR="00087872" w:rsidRDefault="00256B13">
            <w:pPr>
              <w:widowControl w:val="0"/>
              <w:spacing w:after="0" w:line="240" w:lineRule="auto"/>
              <w:jc w:val="center"/>
              <w:rPr>
                <w:sz w:val="20"/>
                <w:szCs w:val="20"/>
                <w:lang w:eastAsia="lv-LV"/>
              </w:rPr>
            </w:pPr>
            <w:r>
              <w:rPr>
                <w:sz w:val="20"/>
                <w:szCs w:val="20"/>
                <w:lang w:eastAsia="lv-LV"/>
              </w:rPr>
              <w:t>Virpotājs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543D4E9C"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EFDA1D2"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7335C562"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0E24778"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3DCC500"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77E54F6" w14:textId="77777777" w:rsidR="00087872" w:rsidRDefault="00256B13">
            <w:pPr>
              <w:widowControl w:val="0"/>
              <w:spacing w:after="0" w:line="240" w:lineRule="auto"/>
              <w:jc w:val="center"/>
              <w:rPr>
                <w:sz w:val="20"/>
                <w:szCs w:val="20"/>
              </w:rPr>
            </w:pPr>
            <w:r>
              <w:rPr>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048E318B" w14:textId="77777777" w:rsidR="00087872" w:rsidRDefault="00256B13">
            <w:pPr>
              <w:widowControl w:val="0"/>
              <w:spacing w:after="0" w:line="240" w:lineRule="auto"/>
              <w:jc w:val="center"/>
              <w:rPr>
                <w:sz w:val="20"/>
                <w:szCs w:val="20"/>
              </w:rPr>
            </w:pPr>
            <w:r>
              <w:rPr>
                <w:sz w:val="20"/>
                <w:szCs w:val="20"/>
              </w:rPr>
              <w:t>-</w:t>
            </w:r>
          </w:p>
        </w:tc>
      </w:tr>
      <w:tr w:rsidR="00087872" w14:paraId="06C508C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0F46CE98" w14:textId="77777777" w:rsidR="00087872" w:rsidRDefault="00256B13">
            <w:pPr>
              <w:widowControl w:val="0"/>
              <w:spacing w:after="0" w:line="240" w:lineRule="auto"/>
              <w:jc w:val="center"/>
              <w:rPr>
                <w:sz w:val="20"/>
                <w:szCs w:val="20"/>
                <w:lang w:eastAsia="lv-LV"/>
              </w:rPr>
            </w:pPr>
            <w:r>
              <w:rPr>
                <w:sz w:val="20"/>
                <w:szCs w:val="20"/>
                <w:lang w:eastAsia="lv-LV"/>
              </w:rPr>
              <w:t>Vizāžists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2A70617B"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458715E"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4001FA24" w14:textId="77777777" w:rsidR="00087872" w:rsidRDefault="00256B13">
            <w:pPr>
              <w:widowControl w:val="0"/>
              <w:spacing w:after="0" w:line="240" w:lineRule="auto"/>
              <w:jc w:val="center"/>
              <w:rPr>
                <w:sz w:val="20"/>
                <w:szCs w:val="20"/>
                <w:lang w:eastAsia="lv-LV"/>
              </w:rPr>
            </w:pPr>
            <w:r>
              <w:rPr>
                <w:sz w:val="20"/>
                <w:szCs w:val="20"/>
                <w:lang w:eastAsia="lv-LV"/>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6E60C80" w14:textId="77777777" w:rsidR="00087872" w:rsidRDefault="00256B13">
            <w:pPr>
              <w:widowControl w:val="0"/>
              <w:spacing w:after="0" w:line="240" w:lineRule="auto"/>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27A40AC"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70FECD7"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08FDAC3B" w14:textId="77777777" w:rsidR="00087872" w:rsidRDefault="00256B13">
            <w:pPr>
              <w:widowControl w:val="0"/>
              <w:spacing w:after="0" w:line="240" w:lineRule="auto"/>
              <w:jc w:val="center"/>
              <w:rPr>
                <w:sz w:val="20"/>
                <w:szCs w:val="20"/>
              </w:rPr>
            </w:pPr>
            <w:r>
              <w:rPr>
                <w:sz w:val="20"/>
                <w:szCs w:val="20"/>
              </w:rPr>
              <w:t>-</w:t>
            </w:r>
          </w:p>
        </w:tc>
      </w:tr>
      <w:tr w:rsidR="00087872" w14:paraId="54A70454"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4FEEC715" w14:textId="77777777" w:rsidR="00087872" w:rsidRDefault="00256B13">
            <w:pPr>
              <w:widowControl w:val="0"/>
              <w:spacing w:after="0" w:line="240" w:lineRule="auto"/>
              <w:jc w:val="center"/>
              <w:rPr>
                <w:sz w:val="20"/>
                <w:szCs w:val="20"/>
                <w:lang w:eastAsia="lv-LV"/>
              </w:rPr>
            </w:pPr>
            <w:r>
              <w:rPr>
                <w:sz w:val="20"/>
                <w:szCs w:val="20"/>
                <w:lang w:eastAsia="lv-LV"/>
              </w:rPr>
              <w:t>Vizuālā tēla stilists (3)</w:t>
            </w:r>
          </w:p>
        </w:tc>
        <w:tc>
          <w:tcPr>
            <w:tcW w:w="568" w:type="dxa"/>
            <w:tcBorders>
              <w:top w:val="single" w:sz="4" w:space="0" w:color="000000"/>
              <w:left w:val="single" w:sz="4" w:space="0" w:color="000000"/>
              <w:bottom w:val="single" w:sz="4" w:space="0" w:color="000000"/>
              <w:right w:val="single" w:sz="4" w:space="0" w:color="000000"/>
            </w:tcBorders>
            <w:vAlign w:val="center"/>
          </w:tcPr>
          <w:p w14:paraId="16585616"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EB3B38" w14:textId="77777777" w:rsidR="00087872" w:rsidRDefault="00256B13">
            <w:pPr>
              <w:widowControl w:val="0"/>
              <w:spacing w:after="0" w:line="240" w:lineRule="auto"/>
              <w:jc w:val="center"/>
              <w:rPr>
                <w:sz w:val="20"/>
                <w:szCs w:val="20"/>
                <w:lang w:eastAsia="lv-LV"/>
              </w:rPr>
            </w:pPr>
            <w:r>
              <w:rPr>
                <w:sz w:val="20"/>
                <w:szCs w:val="20"/>
                <w:lang w:eastAsia="lv-LV"/>
              </w:rPr>
              <w:t>9</w:t>
            </w:r>
          </w:p>
        </w:tc>
        <w:tc>
          <w:tcPr>
            <w:tcW w:w="712" w:type="dxa"/>
            <w:tcBorders>
              <w:top w:val="single" w:sz="4" w:space="0" w:color="000000"/>
              <w:left w:val="single" w:sz="4" w:space="0" w:color="000000"/>
              <w:bottom w:val="single" w:sz="4" w:space="0" w:color="000000"/>
              <w:right w:val="single" w:sz="4" w:space="0" w:color="000000"/>
            </w:tcBorders>
            <w:vAlign w:val="center"/>
          </w:tcPr>
          <w:p w14:paraId="3C4BBA25" w14:textId="77777777" w:rsidR="00087872" w:rsidRDefault="00256B13">
            <w:pPr>
              <w:widowControl w:val="0"/>
              <w:spacing w:after="0" w:line="240" w:lineRule="auto"/>
              <w:jc w:val="center"/>
              <w:rPr>
                <w:sz w:val="20"/>
                <w:szCs w:val="20"/>
                <w:lang w:eastAsia="lv-LV"/>
              </w:rPr>
            </w:pPr>
            <w:r>
              <w:rPr>
                <w:sz w:val="20"/>
                <w:szCs w:val="20"/>
                <w:lang w:eastAsia="lv-LV"/>
              </w:rPr>
              <w:t>11</w:t>
            </w:r>
          </w:p>
        </w:tc>
        <w:tc>
          <w:tcPr>
            <w:tcW w:w="708" w:type="dxa"/>
            <w:tcBorders>
              <w:top w:val="single" w:sz="4" w:space="0" w:color="000000"/>
              <w:left w:val="single" w:sz="4" w:space="0" w:color="000000"/>
              <w:bottom w:val="single" w:sz="4" w:space="0" w:color="000000"/>
              <w:right w:val="single" w:sz="4" w:space="0" w:color="000000"/>
            </w:tcBorders>
            <w:vAlign w:val="center"/>
          </w:tcPr>
          <w:p w14:paraId="4030FF5F" w14:textId="77777777" w:rsidR="00087872" w:rsidRDefault="00256B13">
            <w:pPr>
              <w:widowControl w:val="0"/>
              <w:spacing w:after="0" w:line="240" w:lineRule="auto"/>
              <w:jc w:val="center"/>
              <w:rPr>
                <w:sz w:val="20"/>
                <w:szCs w:val="20"/>
              </w:rPr>
            </w:pPr>
            <w:r>
              <w:rPr>
                <w:sz w:val="20"/>
                <w:szCs w:val="20"/>
              </w:rPr>
              <w:t>4</w:t>
            </w:r>
          </w:p>
        </w:tc>
        <w:tc>
          <w:tcPr>
            <w:tcW w:w="707" w:type="dxa"/>
            <w:tcBorders>
              <w:top w:val="single" w:sz="4" w:space="0" w:color="000000"/>
              <w:left w:val="single" w:sz="4" w:space="0" w:color="000000"/>
              <w:bottom w:val="single" w:sz="4" w:space="0" w:color="000000"/>
              <w:right w:val="single" w:sz="4" w:space="0" w:color="000000"/>
            </w:tcBorders>
            <w:vAlign w:val="center"/>
          </w:tcPr>
          <w:p w14:paraId="32C1C8DD"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F438899"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CDC25E7" w14:textId="77777777" w:rsidR="00087872" w:rsidRDefault="00256B13">
            <w:pPr>
              <w:widowControl w:val="0"/>
              <w:spacing w:after="0" w:line="240" w:lineRule="auto"/>
              <w:jc w:val="center"/>
              <w:rPr>
                <w:sz w:val="20"/>
                <w:szCs w:val="20"/>
              </w:rPr>
            </w:pPr>
            <w:r>
              <w:rPr>
                <w:sz w:val="20"/>
                <w:szCs w:val="20"/>
              </w:rPr>
              <w:t>3</w:t>
            </w:r>
          </w:p>
        </w:tc>
      </w:tr>
      <w:tr w:rsidR="00087872" w14:paraId="55011A6D"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65DFCA2" w14:textId="77777777" w:rsidR="00087872" w:rsidRDefault="00256B13">
            <w:pPr>
              <w:widowControl w:val="0"/>
              <w:spacing w:after="0" w:line="240" w:lineRule="auto"/>
              <w:jc w:val="center"/>
              <w:rPr>
                <w:sz w:val="20"/>
                <w:szCs w:val="20"/>
                <w:lang w:eastAsia="lv-LV"/>
              </w:rPr>
            </w:pPr>
            <w:r>
              <w:rPr>
                <w:sz w:val="20"/>
                <w:szCs w:val="20"/>
                <w:lang w:eastAsia="lv-LV"/>
              </w:rPr>
              <w:t>Vokālists, kora dziedātājs (3)</w:t>
            </w:r>
          </w:p>
        </w:tc>
        <w:tc>
          <w:tcPr>
            <w:tcW w:w="568" w:type="dxa"/>
            <w:tcBorders>
              <w:top w:val="single" w:sz="4" w:space="0" w:color="000000"/>
              <w:left w:val="single" w:sz="4" w:space="0" w:color="000000"/>
              <w:bottom w:val="single" w:sz="4" w:space="0" w:color="000000"/>
              <w:right w:val="single" w:sz="4" w:space="0" w:color="000000"/>
            </w:tcBorders>
            <w:vAlign w:val="center"/>
          </w:tcPr>
          <w:p w14:paraId="7EB19ED3"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F270BE5"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18004B27" w14:textId="77777777" w:rsidR="00087872" w:rsidRDefault="00256B13">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4FCD7D" w14:textId="77777777" w:rsidR="00087872" w:rsidRDefault="00256B13">
            <w:pPr>
              <w:widowControl w:val="0"/>
              <w:spacing w:after="0" w:line="240" w:lineRule="auto"/>
              <w:jc w:val="center"/>
              <w:rPr>
                <w:sz w:val="20"/>
                <w:szCs w:val="20"/>
              </w:rPr>
            </w:pPr>
            <w:r>
              <w:rPr>
                <w:sz w:val="20"/>
                <w:szCs w:val="20"/>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368B28B3" w14:textId="77777777" w:rsidR="00087872" w:rsidRDefault="00256B13">
            <w:pPr>
              <w:widowControl w:val="0"/>
              <w:spacing w:after="0" w:line="240" w:lineRule="auto"/>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3A53146" w14:textId="77777777" w:rsidR="00087872" w:rsidRDefault="00256B13">
            <w:pPr>
              <w:widowControl w:val="0"/>
              <w:spacing w:after="0" w:line="240" w:lineRule="auto"/>
              <w:jc w:val="center"/>
              <w:rPr>
                <w:sz w:val="20"/>
                <w:szCs w:val="20"/>
              </w:rPr>
            </w:pP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3600087" w14:textId="77777777" w:rsidR="00087872" w:rsidRDefault="00256B13">
            <w:pPr>
              <w:widowControl w:val="0"/>
              <w:spacing w:after="0" w:line="240" w:lineRule="auto"/>
              <w:jc w:val="center"/>
              <w:rPr>
                <w:sz w:val="20"/>
                <w:szCs w:val="20"/>
              </w:rPr>
            </w:pPr>
            <w:r>
              <w:rPr>
                <w:sz w:val="20"/>
                <w:szCs w:val="20"/>
              </w:rPr>
              <w:t>-</w:t>
            </w:r>
          </w:p>
        </w:tc>
      </w:tr>
      <w:tr w:rsidR="00087872" w14:paraId="12CAD249" w14:textId="77777777">
        <w:tc>
          <w:tcPr>
            <w:tcW w:w="3968" w:type="dxa"/>
            <w:tcBorders>
              <w:top w:val="single" w:sz="4" w:space="0" w:color="000000"/>
              <w:left w:val="single" w:sz="4" w:space="0" w:color="000000"/>
              <w:bottom w:val="single" w:sz="4" w:space="0" w:color="000000"/>
              <w:right w:val="single" w:sz="4" w:space="0" w:color="000000"/>
            </w:tcBorders>
            <w:vAlign w:val="center"/>
          </w:tcPr>
          <w:p w14:paraId="265FAA35" w14:textId="77777777" w:rsidR="00087872" w:rsidRDefault="00256B13">
            <w:pPr>
              <w:widowControl w:val="0"/>
              <w:spacing w:after="0" w:line="240" w:lineRule="auto"/>
              <w:jc w:val="right"/>
              <w:rPr>
                <w:b/>
                <w:bCs/>
                <w:sz w:val="20"/>
                <w:szCs w:val="20"/>
                <w:lang w:eastAsia="lv-LV"/>
              </w:rPr>
            </w:pPr>
            <w:r>
              <w:rPr>
                <w:b/>
                <w:bCs/>
                <w:sz w:val="20"/>
                <w:szCs w:val="20"/>
                <w:lang w:eastAsia="lv-LV"/>
              </w:rPr>
              <w:t>Kopā:</w:t>
            </w:r>
          </w:p>
        </w:tc>
        <w:tc>
          <w:tcPr>
            <w:tcW w:w="568" w:type="dxa"/>
            <w:tcBorders>
              <w:top w:val="single" w:sz="4" w:space="0" w:color="000000"/>
              <w:left w:val="single" w:sz="4" w:space="0" w:color="000000"/>
              <w:bottom w:val="single" w:sz="4" w:space="0" w:color="000000"/>
              <w:right w:val="single" w:sz="4" w:space="0" w:color="000000"/>
            </w:tcBorders>
            <w:vAlign w:val="center"/>
          </w:tcPr>
          <w:p w14:paraId="3F11683B" w14:textId="77777777" w:rsidR="00087872" w:rsidRDefault="00256B13">
            <w:pPr>
              <w:widowControl w:val="0"/>
              <w:spacing w:after="0" w:line="240" w:lineRule="auto"/>
              <w:jc w:val="center"/>
              <w:rPr>
                <w:b/>
                <w:bCs/>
                <w:sz w:val="20"/>
                <w:szCs w:val="20"/>
                <w:lang w:eastAsia="lv-LV"/>
              </w:rPr>
            </w:pPr>
            <w:r>
              <w:rPr>
                <w:b/>
                <w:bCs/>
                <w:sz w:val="20"/>
                <w:szCs w:val="20"/>
                <w:lang w:eastAsia="lv-LV"/>
              </w:rPr>
              <w:t>1453</w:t>
            </w:r>
          </w:p>
        </w:tc>
        <w:tc>
          <w:tcPr>
            <w:tcW w:w="708" w:type="dxa"/>
            <w:tcBorders>
              <w:top w:val="single" w:sz="4" w:space="0" w:color="000000"/>
              <w:left w:val="single" w:sz="4" w:space="0" w:color="000000"/>
              <w:bottom w:val="single" w:sz="4" w:space="0" w:color="000000"/>
              <w:right w:val="single" w:sz="4" w:space="0" w:color="000000"/>
            </w:tcBorders>
            <w:vAlign w:val="center"/>
          </w:tcPr>
          <w:p w14:paraId="19D86306" w14:textId="77777777" w:rsidR="00087872" w:rsidRDefault="00256B13">
            <w:pPr>
              <w:widowControl w:val="0"/>
              <w:spacing w:after="0" w:line="240" w:lineRule="auto"/>
              <w:jc w:val="center"/>
              <w:rPr>
                <w:b/>
                <w:bCs/>
                <w:sz w:val="20"/>
                <w:szCs w:val="20"/>
                <w:lang w:eastAsia="lv-LV"/>
              </w:rPr>
            </w:pPr>
            <w:r>
              <w:rPr>
                <w:b/>
                <w:bCs/>
                <w:sz w:val="20"/>
                <w:szCs w:val="20"/>
                <w:lang w:eastAsia="lv-LV"/>
              </w:rPr>
              <w:t>1228</w:t>
            </w:r>
          </w:p>
        </w:tc>
        <w:tc>
          <w:tcPr>
            <w:tcW w:w="712" w:type="dxa"/>
            <w:tcBorders>
              <w:top w:val="single" w:sz="4" w:space="0" w:color="000000"/>
              <w:left w:val="single" w:sz="4" w:space="0" w:color="000000"/>
              <w:bottom w:val="single" w:sz="4" w:space="0" w:color="000000"/>
              <w:right w:val="single" w:sz="4" w:space="0" w:color="000000"/>
            </w:tcBorders>
            <w:vAlign w:val="center"/>
          </w:tcPr>
          <w:p w14:paraId="1D5B8A84" w14:textId="77777777" w:rsidR="00087872" w:rsidRDefault="00256B13">
            <w:pPr>
              <w:widowControl w:val="0"/>
              <w:spacing w:after="0" w:line="240" w:lineRule="auto"/>
              <w:jc w:val="center"/>
              <w:rPr>
                <w:b/>
                <w:bCs/>
                <w:sz w:val="20"/>
                <w:szCs w:val="20"/>
                <w:lang w:eastAsia="lv-LV"/>
              </w:rPr>
            </w:pPr>
            <w:r>
              <w:rPr>
                <w:b/>
                <w:bCs/>
                <w:sz w:val="20"/>
                <w:szCs w:val="20"/>
                <w:lang w:eastAsia="lv-LV"/>
              </w:rPr>
              <w:t>971</w:t>
            </w:r>
          </w:p>
        </w:tc>
        <w:tc>
          <w:tcPr>
            <w:tcW w:w="708" w:type="dxa"/>
            <w:tcBorders>
              <w:top w:val="single" w:sz="4" w:space="0" w:color="000000"/>
              <w:left w:val="single" w:sz="4" w:space="0" w:color="000000"/>
              <w:bottom w:val="single" w:sz="4" w:space="0" w:color="000000"/>
              <w:right w:val="single" w:sz="4" w:space="0" w:color="000000"/>
            </w:tcBorders>
            <w:vAlign w:val="center"/>
          </w:tcPr>
          <w:p w14:paraId="5BDD994E" w14:textId="77777777" w:rsidR="00087872" w:rsidRDefault="00256B13">
            <w:pPr>
              <w:widowControl w:val="0"/>
              <w:spacing w:after="0" w:line="240" w:lineRule="auto"/>
              <w:jc w:val="center"/>
              <w:rPr>
                <w:b/>
                <w:bCs/>
                <w:sz w:val="20"/>
                <w:szCs w:val="20"/>
              </w:rPr>
            </w:pPr>
            <w:r>
              <w:rPr>
                <w:b/>
                <w:bCs/>
                <w:sz w:val="20"/>
                <w:szCs w:val="20"/>
              </w:rPr>
              <w:t>477</w:t>
            </w:r>
          </w:p>
        </w:tc>
        <w:tc>
          <w:tcPr>
            <w:tcW w:w="707" w:type="dxa"/>
            <w:tcBorders>
              <w:top w:val="single" w:sz="4" w:space="0" w:color="000000"/>
              <w:left w:val="single" w:sz="4" w:space="0" w:color="000000"/>
              <w:bottom w:val="single" w:sz="4" w:space="0" w:color="000000"/>
              <w:right w:val="single" w:sz="4" w:space="0" w:color="000000"/>
            </w:tcBorders>
            <w:vAlign w:val="center"/>
          </w:tcPr>
          <w:p w14:paraId="5F4F3DBE" w14:textId="77777777" w:rsidR="00087872" w:rsidRDefault="00256B13">
            <w:pPr>
              <w:widowControl w:val="0"/>
              <w:spacing w:after="0" w:line="240" w:lineRule="auto"/>
              <w:jc w:val="center"/>
              <w:rPr>
                <w:b/>
                <w:bCs/>
                <w:sz w:val="20"/>
                <w:szCs w:val="20"/>
              </w:rPr>
            </w:pPr>
            <w:r>
              <w:rPr>
                <w:b/>
                <w:bCs/>
                <w:sz w:val="20"/>
                <w:szCs w:val="20"/>
              </w:rPr>
              <w:t>337</w:t>
            </w:r>
          </w:p>
        </w:tc>
        <w:tc>
          <w:tcPr>
            <w:tcW w:w="851" w:type="dxa"/>
            <w:tcBorders>
              <w:top w:val="single" w:sz="4" w:space="0" w:color="000000"/>
              <w:left w:val="single" w:sz="4" w:space="0" w:color="000000"/>
              <w:bottom w:val="single" w:sz="4" w:space="0" w:color="000000"/>
              <w:right w:val="single" w:sz="4" w:space="0" w:color="000000"/>
            </w:tcBorders>
            <w:vAlign w:val="center"/>
          </w:tcPr>
          <w:p w14:paraId="7E009E40" w14:textId="77777777" w:rsidR="00087872" w:rsidRDefault="00256B13">
            <w:pPr>
              <w:widowControl w:val="0"/>
              <w:spacing w:after="0" w:line="240" w:lineRule="auto"/>
              <w:jc w:val="center"/>
            </w:pPr>
            <w:r>
              <w:rPr>
                <w:b/>
                <w:bCs/>
                <w:sz w:val="20"/>
                <w:szCs w:val="20"/>
              </w:rPr>
              <w:t>575</w:t>
            </w:r>
          </w:p>
        </w:tc>
        <w:tc>
          <w:tcPr>
            <w:tcW w:w="1133" w:type="dxa"/>
            <w:tcBorders>
              <w:top w:val="single" w:sz="4" w:space="0" w:color="000000"/>
              <w:left w:val="single" w:sz="4" w:space="0" w:color="000000"/>
              <w:bottom w:val="single" w:sz="4" w:space="0" w:color="000000"/>
              <w:right w:val="single" w:sz="4" w:space="0" w:color="000000"/>
            </w:tcBorders>
            <w:vAlign w:val="center"/>
          </w:tcPr>
          <w:p w14:paraId="78C40398" w14:textId="77777777" w:rsidR="00087872" w:rsidRDefault="00256B13">
            <w:pPr>
              <w:widowControl w:val="0"/>
              <w:spacing w:after="0" w:line="240" w:lineRule="auto"/>
              <w:jc w:val="center"/>
              <w:rPr>
                <w:b/>
                <w:bCs/>
                <w:sz w:val="20"/>
                <w:szCs w:val="20"/>
              </w:rPr>
            </w:pPr>
            <w:r>
              <w:rPr>
                <w:b/>
                <w:bCs/>
                <w:sz w:val="20"/>
                <w:szCs w:val="20"/>
              </w:rPr>
              <w:t>652</w:t>
            </w:r>
          </w:p>
        </w:tc>
      </w:tr>
    </w:tbl>
    <w:p w14:paraId="09F1FBF0" w14:textId="77777777" w:rsidR="00087872" w:rsidRDefault="00087872">
      <w:pPr>
        <w:spacing w:after="0"/>
        <w:ind w:firstLine="720"/>
        <w:jc w:val="center"/>
        <w:rPr>
          <w:rFonts w:eastAsia="Times New Roman"/>
          <w:i/>
          <w:sz w:val="22"/>
          <w:szCs w:val="22"/>
        </w:rPr>
      </w:pPr>
    </w:p>
    <w:p w14:paraId="235AC942" w14:textId="77777777" w:rsidR="00087872" w:rsidRDefault="00087872">
      <w:pPr>
        <w:pStyle w:val="Virsraksts31"/>
      </w:pPr>
    </w:p>
    <w:p w14:paraId="6CE79CC0" w14:textId="77777777" w:rsidR="00087872" w:rsidRDefault="00087872">
      <w:pPr>
        <w:pStyle w:val="Virsraksts31"/>
      </w:pPr>
    </w:p>
    <w:p w14:paraId="0C755F4C" w14:textId="77777777" w:rsidR="00087872" w:rsidRDefault="00256B13">
      <w:pPr>
        <w:pStyle w:val="Virsraksts31"/>
      </w:pPr>
      <w:bookmarkStart w:id="58" w:name="_Toc139120231"/>
      <w:bookmarkStart w:id="59" w:name="_Toc456012551"/>
      <w:bookmarkStart w:id="60" w:name="_Toc456012651"/>
      <w:r>
        <w:t>2.2.5. Uzraudzība</w:t>
      </w:r>
      <w:bookmarkEnd w:id="58"/>
      <w:bookmarkEnd w:id="59"/>
      <w:bookmarkEnd w:id="60"/>
      <w:r>
        <w:t xml:space="preserve"> </w:t>
      </w:r>
    </w:p>
    <w:p w14:paraId="0DD5AFAB" w14:textId="77777777" w:rsidR="00087872" w:rsidRDefault="00256B13">
      <w:pPr>
        <w:pStyle w:val="Pamatteksts"/>
        <w:rPr>
          <w:rFonts w:eastAsia="Times New Roman"/>
        </w:rPr>
      </w:pPr>
      <w:r>
        <w:rPr>
          <w:rFonts w:eastAsia="Times New Roman"/>
        </w:rPr>
        <w:t xml:space="preserve">2022. gadā kvalitātes dienesta Uzraudzības departaments izskatīja 650 iesniegumus (sūdzības) par izglītības jomu reglamentējošo normatīvo aktu ievērošanu. Salīdzinot ar 2021. gadu, iesniegumu (sūdzību) skaits ir samazinājies (2021. gadā – 730). </w:t>
      </w:r>
    </w:p>
    <w:p w14:paraId="59C0EA6B" w14:textId="77777777" w:rsidR="00087872" w:rsidRDefault="00256B13">
      <w:pPr>
        <w:pStyle w:val="Pamatteksts"/>
        <w:rPr>
          <w:rFonts w:eastAsia="Times New Roman"/>
        </w:rPr>
      </w:pPr>
      <w:r>
        <w:rPr>
          <w:rFonts w:eastAsia="Times New Roman"/>
        </w:rPr>
        <w:t>Papildus i</w:t>
      </w:r>
      <w:r>
        <w:rPr>
          <w:rFonts w:eastAsia="Times New Roman"/>
        </w:rPr>
        <w:t xml:space="preserve">esniegumu izskatīšanai kvalitātes dienesta Uzraudzības departamenta darbinieki un citi speciālisti regulāri sniedza gan telefoniskas, gan attālinātas konsultācijas par izglītības jomu regulējošo normatīvo aktu piemērošanu izglītības iestādēs un izglītības </w:t>
      </w:r>
      <w:r>
        <w:rPr>
          <w:rFonts w:eastAsia="Times New Roman"/>
        </w:rPr>
        <w:t>procesa tiesiskumu, tostarp par izglītojamo mācību snieguma vērtēšanu, izglītojamo uzņemšanu, pārcelšanu un atskaitīšanu, iekļaujošo izglītību, pedagogiem nepieciešamo izglītību un profesionālo kvalifikāciju. Savukārt pēc Krievijas pilna mēroga iebrukuma U</w:t>
      </w:r>
      <w:r>
        <w:rPr>
          <w:rFonts w:eastAsia="Times New Roman"/>
        </w:rPr>
        <w:t>krainā kvalitātes dienesta speciālisti konsultēja izglītības iestādes par audzināšanas jautājumiem un izglītojamo audzināšanas vadlīniju ievērošanu izglītības iestādēs.</w:t>
      </w:r>
    </w:p>
    <w:p w14:paraId="58EDE6A8" w14:textId="77777777" w:rsidR="00087872" w:rsidRDefault="00256B13">
      <w:pPr>
        <w:rPr>
          <w:rFonts w:eastAsia="Times New Roman"/>
          <w:sz w:val="22"/>
          <w:szCs w:val="22"/>
        </w:rPr>
      </w:pPr>
      <w:r>
        <w:rPr>
          <w:rFonts w:eastAsia="Times New Roman"/>
          <w:sz w:val="22"/>
          <w:szCs w:val="22"/>
        </w:rPr>
        <w:t>2022. gadā kvalitātes dienesta Uzraudzības departamenta speciālisti sadarbībā ar citu s</w:t>
      </w:r>
      <w:r>
        <w:rPr>
          <w:rFonts w:eastAsia="Times New Roman"/>
          <w:sz w:val="22"/>
          <w:szCs w:val="22"/>
        </w:rPr>
        <w:t>truktūrvienību pārstāvjiem aktīvi iesaistījās vairāku izglītības jomu reglamentējošo normatīvo aktu grozījumu izstrādē, tostarp saistībā ar Ukrainas civiliedzīvotāju izglītības nodrošināšanu Latvijā. Kvalitātes dienesta Uzraudzības departaments arī aktuali</w:t>
      </w:r>
      <w:r>
        <w:rPr>
          <w:rFonts w:eastAsia="Times New Roman"/>
          <w:sz w:val="22"/>
          <w:szCs w:val="22"/>
        </w:rPr>
        <w:t>zējis vairākus izglītības iestādes darbībai būtiskus jautājumus, tostarp par pašvaldību pedagoģiski medicīnisko komisiju izsniegto atzinumu piemērošanu</w:t>
      </w:r>
      <w:r>
        <w:rPr>
          <w:rStyle w:val="FootnoteAnchor"/>
          <w:rFonts w:eastAsia="Times New Roman"/>
          <w:sz w:val="22"/>
          <w:szCs w:val="22"/>
        </w:rPr>
        <w:footnoteReference w:id="2"/>
      </w:r>
      <w:r>
        <w:rPr>
          <w:rFonts w:eastAsia="Times New Roman"/>
          <w:sz w:val="22"/>
          <w:szCs w:val="22"/>
        </w:rPr>
        <w:t xml:space="preserve"> un skolēnu liecībās veikto ierakstu skaidrību un nepārprotamību</w:t>
      </w:r>
      <w:r>
        <w:rPr>
          <w:rStyle w:val="FootnoteAnchor"/>
          <w:rFonts w:eastAsia="Times New Roman"/>
          <w:sz w:val="22"/>
          <w:szCs w:val="22"/>
        </w:rPr>
        <w:footnoteReference w:id="3"/>
      </w:r>
      <w:r>
        <w:rPr>
          <w:rFonts w:eastAsia="Times New Roman"/>
          <w:sz w:val="22"/>
          <w:szCs w:val="22"/>
        </w:rPr>
        <w:t>.</w:t>
      </w:r>
    </w:p>
    <w:p w14:paraId="39B6A86D" w14:textId="77777777" w:rsidR="00087872" w:rsidRDefault="00256B13">
      <w:pPr>
        <w:pStyle w:val="Pamatteksts"/>
        <w:rPr>
          <w:rFonts w:eastAsia="Times New Roman"/>
        </w:rPr>
      </w:pPr>
      <w:r>
        <w:rPr>
          <w:rFonts w:eastAsia="Times New Roman"/>
        </w:rPr>
        <w:t>329 iesniegumu iesniedzēji bija izglītojamo vecāki, 40 iesniegumus iesniedza izglītojamie, 21 iesniegumu – pedagogs, 33 gadījumos – citas fiziskas personas, 22 – izglītības iestāde, 78 iesniegumi saņemti no dažādām valsts pārvaldes iestādēm, tostarp Valsts</w:t>
      </w:r>
      <w:r>
        <w:rPr>
          <w:rFonts w:eastAsia="Times New Roman"/>
        </w:rPr>
        <w:t xml:space="preserve"> policijas, Veselības inspekcijas, Valsts bērnu tiesību aizsardzības inspekcijas, Valsts darba inspekcijas u.c., 146 gadījumos – no citiem iesniedzējiem, 59 gadījumos iesniegti anonīmi iesniegumi. </w:t>
      </w:r>
    </w:p>
    <w:p w14:paraId="2F683EEE" w14:textId="77777777" w:rsidR="00087872" w:rsidRDefault="00256B13">
      <w:pPr>
        <w:pStyle w:val="Pamatteksts"/>
        <w:rPr>
          <w:rFonts w:eastAsia="Times New Roman"/>
        </w:rPr>
      </w:pPr>
      <w:r>
        <w:rPr>
          <w:rFonts w:eastAsia="Times New Roman"/>
        </w:rPr>
        <w:t xml:space="preserve">Iesniegumos skarti 851 </w:t>
      </w:r>
      <w:proofErr w:type="spellStart"/>
      <w:r>
        <w:rPr>
          <w:rFonts w:eastAsia="Times New Roman"/>
        </w:rPr>
        <w:t>problēmjautājums</w:t>
      </w:r>
      <w:proofErr w:type="spellEnd"/>
      <w:r>
        <w:rPr>
          <w:rFonts w:eastAsia="Times New Roman"/>
        </w:rPr>
        <w:t xml:space="preserve"> (viens iesniegums </w:t>
      </w:r>
      <w:r>
        <w:rPr>
          <w:rFonts w:eastAsia="Times New Roman"/>
        </w:rPr>
        <w:t xml:space="preserve">var saturēt vairākus </w:t>
      </w:r>
      <w:proofErr w:type="spellStart"/>
      <w:r>
        <w:rPr>
          <w:rFonts w:eastAsia="Times New Roman"/>
        </w:rPr>
        <w:t>problēmjautājumus</w:t>
      </w:r>
      <w:proofErr w:type="spellEnd"/>
      <w:r>
        <w:rPr>
          <w:rFonts w:eastAsia="Times New Roman"/>
        </w:rPr>
        <w:t xml:space="preserve">), 281 gadījumos iesniegumā par attiecīgo </w:t>
      </w:r>
      <w:proofErr w:type="spellStart"/>
      <w:r>
        <w:rPr>
          <w:rFonts w:eastAsia="Times New Roman"/>
        </w:rPr>
        <w:t>problēmjautājumu</w:t>
      </w:r>
      <w:proofErr w:type="spellEnd"/>
      <w:r>
        <w:rPr>
          <w:rFonts w:eastAsia="Times New Roman"/>
        </w:rPr>
        <w:t xml:space="preserve"> sniegtā informācija apstiprinājās, 163 gadījumos – neapstiprinājās, 100 gadījumos iesniegums pārsūtīts citām kompetentajām institūcijām, 307 gadījumos iesniedz</w:t>
      </w:r>
      <w:r>
        <w:rPr>
          <w:rFonts w:eastAsia="Times New Roman"/>
        </w:rPr>
        <w:t xml:space="preserve">ējam sniegts skaidrojums. </w:t>
      </w:r>
    </w:p>
    <w:p w14:paraId="4D43086D" w14:textId="77777777" w:rsidR="00087872" w:rsidRDefault="00256B13">
      <w:pPr>
        <w:pStyle w:val="Pamatteksts"/>
        <w:spacing w:after="0"/>
        <w:rPr>
          <w:rFonts w:eastAsia="Times New Roman"/>
        </w:rPr>
      </w:pPr>
      <w:r>
        <w:rPr>
          <w:rFonts w:eastAsia="Times New Roman"/>
        </w:rPr>
        <w:t xml:space="preserve">Iesniegumos visbiežāk skartie </w:t>
      </w:r>
      <w:proofErr w:type="spellStart"/>
      <w:r>
        <w:rPr>
          <w:rFonts w:eastAsia="Times New Roman"/>
        </w:rPr>
        <w:t>problēmjautājumi</w:t>
      </w:r>
      <w:proofErr w:type="spellEnd"/>
      <w:r>
        <w:rPr>
          <w:rFonts w:eastAsia="Times New Roman"/>
        </w:rPr>
        <w:t xml:space="preserve"> ir:</w:t>
      </w:r>
    </w:p>
    <w:p w14:paraId="1FA720E1" w14:textId="77777777" w:rsidR="00087872" w:rsidRDefault="00256B13">
      <w:pPr>
        <w:tabs>
          <w:tab w:val="left" w:pos="709"/>
          <w:tab w:val="left" w:pos="993"/>
        </w:tabs>
        <w:ind w:left="357"/>
        <w:contextualSpacing/>
        <w:rPr>
          <w:rFonts w:eastAsia="Times New Roman"/>
          <w:sz w:val="22"/>
          <w:szCs w:val="22"/>
        </w:rPr>
      </w:pPr>
      <w:r>
        <w:rPr>
          <w:rFonts w:eastAsia="Times New Roman"/>
        </w:rPr>
        <w:t>•</w:t>
      </w:r>
      <w:r>
        <w:rPr>
          <w:rFonts w:eastAsia="Times New Roman"/>
        </w:rPr>
        <w:tab/>
      </w:r>
      <w:r>
        <w:rPr>
          <w:rFonts w:eastAsia="Times New Roman"/>
          <w:sz w:val="22"/>
          <w:szCs w:val="22"/>
        </w:rPr>
        <w:t>Izglītības / studiju programmas īstenošana (vai neīstenošana) atbilstoši licencētajai izglītības (studiju) programmai;</w:t>
      </w:r>
    </w:p>
    <w:p w14:paraId="69A52510" w14:textId="77777777" w:rsidR="00087872" w:rsidRDefault="00256B13">
      <w:pPr>
        <w:tabs>
          <w:tab w:val="left" w:pos="709"/>
          <w:tab w:val="left" w:pos="993"/>
        </w:tabs>
        <w:ind w:left="357"/>
        <w:contextualSpacing/>
        <w:rPr>
          <w:rFonts w:eastAsia="Times New Roman"/>
          <w:sz w:val="22"/>
          <w:szCs w:val="22"/>
        </w:rPr>
      </w:pPr>
      <w:r>
        <w:rPr>
          <w:rFonts w:eastAsia="Times New Roman"/>
          <w:sz w:val="22"/>
          <w:szCs w:val="22"/>
        </w:rPr>
        <w:t>•</w:t>
      </w:r>
      <w:r>
        <w:rPr>
          <w:rFonts w:eastAsia="Times New Roman"/>
          <w:sz w:val="22"/>
          <w:szCs w:val="22"/>
        </w:rPr>
        <w:tab/>
        <w:t>Pedagogu pienākumi;</w:t>
      </w:r>
    </w:p>
    <w:p w14:paraId="7F8BC208" w14:textId="77777777" w:rsidR="00087872" w:rsidRDefault="00256B13">
      <w:pPr>
        <w:tabs>
          <w:tab w:val="left" w:pos="709"/>
          <w:tab w:val="left" w:pos="993"/>
        </w:tabs>
        <w:ind w:left="357"/>
        <w:contextualSpacing/>
        <w:rPr>
          <w:rFonts w:eastAsia="Times New Roman"/>
          <w:sz w:val="22"/>
          <w:szCs w:val="22"/>
        </w:rPr>
      </w:pPr>
      <w:r>
        <w:rPr>
          <w:rFonts w:eastAsia="Times New Roman"/>
          <w:sz w:val="22"/>
          <w:szCs w:val="22"/>
        </w:rPr>
        <w:t>•</w:t>
      </w:r>
      <w:r>
        <w:rPr>
          <w:rFonts w:eastAsia="Times New Roman"/>
          <w:sz w:val="22"/>
          <w:szCs w:val="22"/>
        </w:rPr>
        <w:tab/>
        <w:t>Izglītojamo drošība;</w:t>
      </w:r>
    </w:p>
    <w:p w14:paraId="2F9FAA56" w14:textId="77777777" w:rsidR="00087872" w:rsidRDefault="00256B13">
      <w:pPr>
        <w:tabs>
          <w:tab w:val="left" w:pos="709"/>
          <w:tab w:val="left" w:pos="993"/>
        </w:tabs>
        <w:ind w:left="357"/>
        <w:contextualSpacing/>
        <w:rPr>
          <w:rFonts w:eastAsia="Times New Roman"/>
          <w:sz w:val="22"/>
          <w:szCs w:val="22"/>
        </w:rPr>
      </w:pPr>
      <w:r>
        <w:rPr>
          <w:rFonts w:eastAsia="Times New Roman"/>
          <w:sz w:val="22"/>
          <w:szCs w:val="22"/>
        </w:rPr>
        <w:t>•</w:t>
      </w:r>
      <w:r>
        <w:rPr>
          <w:rFonts w:eastAsia="Times New Roman"/>
          <w:sz w:val="22"/>
          <w:szCs w:val="22"/>
        </w:rPr>
        <w:tab/>
        <w:t>Audzināšan</w:t>
      </w:r>
      <w:r>
        <w:rPr>
          <w:rFonts w:eastAsia="Times New Roman"/>
          <w:sz w:val="22"/>
          <w:szCs w:val="22"/>
        </w:rPr>
        <w:t xml:space="preserve">as jautājumi un izglītības un audzināšanas procesa atbilstība izglītojamo audzināšanas vadlīnijām; </w:t>
      </w:r>
    </w:p>
    <w:p w14:paraId="1B5681C8" w14:textId="77777777" w:rsidR="00087872" w:rsidRDefault="00256B13">
      <w:pPr>
        <w:tabs>
          <w:tab w:val="left" w:pos="709"/>
          <w:tab w:val="left" w:pos="993"/>
        </w:tabs>
        <w:ind w:left="357"/>
        <w:contextualSpacing/>
        <w:rPr>
          <w:rFonts w:eastAsia="Times New Roman"/>
          <w:sz w:val="22"/>
          <w:szCs w:val="22"/>
        </w:rPr>
      </w:pPr>
      <w:r>
        <w:rPr>
          <w:rFonts w:eastAsia="Times New Roman"/>
          <w:sz w:val="22"/>
          <w:szCs w:val="22"/>
        </w:rPr>
        <w:t>•</w:t>
      </w:r>
      <w:r>
        <w:rPr>
          <w:rFonts w:eastAsia="Times New Roman"/>
          <w:sz w:val="22"/>
          <w:szCs w:val="22"/>
        </w:rPr>
        <w:tab/>
        <w:t>Mācību valodas jautājumi;</w:t>
      </w:r>
    </w:p>
    <w:p w14:paraId="60BD95A5" w14:textId="77777777" w:rsidR="00087872" w:rsidRDefault="00256B13">
      <w:pPr>
        <w:tabs>
          <w:tab w:val="left" w:pos="709"/>
          <w:tab w:val="left" w:pos="993"/>
        </w:tabs>
        <w:ind w:left="357"/>
        <w:contextualSpacing/>
        <w:rPr>
          <w:rFonts w:eastAsia="Times New Roman"/>
          <w:sz w:val="22"/>
          <w:szCs w:val="22"/>
        </w:rPr>
      </w:pPr>
      <w:r>
        <w:rPr>
          <w:rFonts w:eastAsia="Times New Roman"/>
          <w:sz w:val="22"/>
          <w:szCs w:val="22"/>
        </w:rPr>
        <w:t>•</w:t>
      </w:r>
      <w:r>
        <w:rPr>
          <w:rFonts w:eastAsia="Times New Roman"/>
          <w:sz w:val="22"/>
          <w:szCs w:val="22"/>
        </w:rPr>
        <w:tab/>
        <w:t>Pedagogu ētikas jautājumi;</w:t>
      </w:r>
    </w:p>
    <w:p w14:paraId="6422B96D" w14:textId="77777777" w:rsidR="00087872" w:rsidRDefault="00256B13">
      <w:pPr>
        <w:tabs>
          <w:tab w:val="left" w:pos="709"/>
          <w:tab w:val="left" w:pos="993"/>
        </w:tabs>
        <w:ind w:left="357"/>
        <w:contextualSpacing/>
        <w:rPr>
          <w:rFonts w:eastAsia="Times New Roman"/>
          <w:sz w:val="22"/>
          <w:szCs w:val="22"/>
        </w:rPr>
      </w:pPr>
      <w:r>
        <w:rPr>
          <w:rFonts w:eastAsia="Times New Roman"/>
          <w:sz w:val="22"/>
          <w:szCs w:val="22"/>
        </w:rPr>
        <w:t>•</w:t>
      </w:r>
      <w:r>
        <w:rPr>
          <w:rFonts w:eastAsia="Times New Roman"/>
          <w:sz w:val="22"/>
          <w:szCs w:val="22"/>
        </w:rPr>
        <w:tab/>
        <w:t>Izglītojamo mācību sasniegumu vērtēšana;</w:t>
      </w:r>
    </w:p>
    <w:p w14:paraId="23306650" w14:textId="77777777" w:rsidR="00087872" w:rsidRDefault="00256B13">
      <w:pPr>
        <w:tabs>
          <w:tab w:val="left" w:pos="709"/>
          <w:tab w:val="left" w:pos="993"/>
        </w:tabs>
        <w:ind w:left="357"/>
        <w:contextualSpacing/>
        <w:rPr>
          <w:rFonts w:eastAsia="Times New Roman"/>
          <w:sz w:val="22"/>
          <w:szCs w:val="22"/>
        </w:rPr>
      </w:pPr>
      <w:r>
        <w:rPr>
          <w:rFonts w:eastAsia="Times New Roman"/>
          <w:sz w:val="22"/>
          <w:szCs w:val="22"/>
        </w:rPr>
        <w:t>•</w:t>
      </w:r>
      <w:r>
        <w:rPr>
          <w:rFonts w:eastAsia="Times New Roman"/>
          <w:sz w:val="22"/>
          <w:szCs w:val="22"/>
        </w:rPr>
        <w:tab/>
        <w:t>Izglītojamā tiesību ievērošana;</w:t>
      </w:r>
    </w:p>
    <w:p w14:paraId="12D1CB21" w14:textId="77777777" w:rsidR="00087872" w:rsidRDefault="00256B13">
      <w:pPr>
        <w:tabs>
          <w:tab w:val="left" w:pos="709"/>
        </w:tabs>
        <w:ind w:left="357"/>
        <w:rPr>
          <w:rFonts w:eastAsia="Times New Roman"/>
        </w:rPr>
      </w:pPr>
      <w:r>
        <w:rPr>
          <w:rFonts w:eastAsia="Times New Roman"/>
          <w:sz w:val="22"/>
          <w:szCs w:val="22"/>
        </w:rPr>
        <w:t>•</w:t>
      </w:r>
      <w:r>
        <w:rPr>
          <w:rFonts w:eastAsia="Times New Roman"/>
          <w:sz w:val="22"/>
          <w:szCs w:val="22"/>
        </w:rPr>
        <w:tab/>
        <w:t>Vecāku tiesību jautā</w:t>
      </w:r>
      <w:r>
        <w:rPr>
          <w:rFonts w:eastAsia="Times New Roman"/>
          <w:sz w:val="22"/>
          <w:szCs w:val="22"/>
        </w:rPr>
        <w:t>jumi</w:t>
      </w:r>
      <w:r>
        <w:rPr>
          <w:rFonts w:eastAsia="Times New Roman"/>
        </w:rPr>
        <w:t>.</w:t>
      </w:r>
    </w:p>
    <w:p w14:paraId="156A7015" w14:textId="77777777" w:rsidR="00087872" w:rsidRDefault="00256B13">
      <w:pPr>
        <w:rPr>
          <w:rFonts w:eastAsia="Times New Roman"/>
          <w:sz w:val="22"/>
          <w:szCs w:val="22"/>
        </w:rPr>
      </w:pPr>
      <w:r>
        <w:rPr>
          <w:rFonts w:eastAsia="Times New Roman"/>
          <w:sz w:val="22"/>
          <w:szCs w:val="22"/>
        </w:rPr>
        <w:t>Arī 2022. gada iesniegumos bija daudz jautājumu par Covid-19 pandēmijas ierobežojumiem (44 gadījumos), kā arī bieži skarti jautājumi, kas ir izglītības iestādes dibinātāja kompetencē.</w:t>
      </w:r>
    </w:p>
    <w:p w14:paraId="2F5A86DC" w14:textId="77777777" w:rsidR="00087872" w:rsidRDefault="00256B13">
      <w:pPr>
        <w:rPr>
          <w:rFonts w:eastAsia="Times New Roman"/>
          <w:sz w:val="22"/>
          <w:szCs w:val="22"/>
        </w:rPr>
      </w:pPr>
      <w:r>
        <w:rPr>
          <w:rFonts w:eastAsia="Times New Roman"/>
          <w:sz w:val="22"/>
          <w:szCs w:val="22"/>
        </w:rPr>
        <w:t>Kā katru gadu visvairāk iesniegumu bijis par vispārējās izglītības</w:t>
      </w:r>
      <w:r>
        <w:rPr>
          <w:rFonts w:eastAsia="Times New Roman"/>
          <w:sz w:val="22"/>
          <w:szCs w:val="22"/>
        </w:rPr>
        <w:t xml:space="preserve"> un pirmsskolas izglītības iestāžu darbību (skat. 4. attēlu). </w:t>
      </w:r>
    </w:p>
    <w:p w14:paraId="3EF4665C" w14:textId="77777777" w:rsidR="00087872" w:rsidRDefault="00087872">
      <w:pPr>
        <w:suppressAutoHyphens w:val="0"/>
        <w:jc w:val="right"/>
        <w:rPr>
          <w:rFonts w:eastAsia="Times New Roman"/>
          <w:i/>
          <w:sz w:val="22"/>
          <w:szCs w:val="22"/>
        </w:rPr>
      </w:pPr>
    </w:p>
    <w:p w14:paraId="4107B95A" w14:textId="77777777" w:rsidR="00087872" w:rsidRDefault="00087872">
      <w:pPr>
        <w:suppressAutoHyphens w:val="0"/>
        <w:jc w:val="right"/>
        <w:rPr>
          <w:rFonts w:eastAsia="Times New Roman"/>
          <w:i/>
          <w:sz w:val="22"/>
          <w:szCs w:val="22"/>
        </w:rPr>
      </w:pPr>
    </w:p>
    <w:p w14:paraId="605E9B0B" w14:textId="77777777" w:rsidR="00087872" w:rsidRDefault="00087872">
      <w:pPr>
        <w:suppressAutoHyphens w:val="0"/>
        <w:jc w:val="right"/>
        <w:rPr>
          <w:rFonts w:eastAsia="Times New Roman"/>
          <w:i/>
          <w:sz w:val="22"/>
          <w:szCs w:val="22"/>
        </w:rPr>
      </w:pPr>
    </w:p>
    <w:p w14:paraId="286EDDAC" w14:textId="77777777" w:rsidR="00087872" w:rsidRDefault="00256B13">
      <w:pPr>
        <w:suppressAutoHyphens w:val="0"/>
        <w:jc w:val="right"/>
        <w:rPr>
          <w:rFonts w:eastAsia="Times New Roman"/>
          <w:i/>
          <w:sz w:val="22"/>
          <w:szCs w:val="22"/>
        </w:rPr>
      </w:pPr>
      <w:r>
        <w:rPr>
          <w:rFonts w:eastAsia="Times New Roman"/>
          <w:i/>
          <w:sz w:val="22"/>
          <w:szCs w:val="22"/>
        </w:rPr>
        <w:t>4. attēls</w:t>
      </w:r>
    </w:p>
    <w:p w14:paraId="403ADFCF" w14:textId="77777777" w:rsidR="00087872" w:rsidRDefault="00256B13">
      <w:pPr>
        <w:suppressAutoHyphens w:val="0"/>
        <w:jc w:val="center"/>
        <w:rPr>
          <w:rFonts w:eastAsia="Times New Roman"/>
          <w:i/>
          <w:sz w:val="22"/>
          <w:szCs w:val="22"/>
        </w:rPr>
      </w:pPr>
      <w:r>
        <w:rPr>
          <w:rFonts w:eastAsia="Times New Roman"/>
          <w:i/>
          <w:sz w:val="22"/>
          <w:szCs w:val="22"/>
        </w:rPr>
        <w:t>Iesniegumos minēto izglītības iestāžu veidi</w:t>
      </w:r>
    </w:p>
    <w:p w14:paraId="2DA8D740" w14:textId="77777777" w:rsidR="00087872" w:rsidRDefault="00256B13">
      <w:pPr>
        <w:suppressAutoHyphens w:val="0"/>
        <w:jc w:val="center"/>
        <w:rPr>
          <w:rFonts w:eastAsia="Times New Roman"/>
          <w:sz w:val="22"/>
          <w:szCs w:val="22"/>
        </w:rPr>
      </w:pPr>
      <w:r>
        <w:rPr>
          <w:noProof/>
        </w:rPr>
        <w:drawing>
          <wp:inline distT="0" distB="0" distL="0" distR="0" wp14:anchorId="76D4418A" wp14:editId="47E33395">
            <wp:extent cx="5288280" cy="3048000"/>
            <wp:effectExtent l="0" t="0" r="0" b="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567DEE" w14:textId="77777777" w:rsidR="00087872" w:rsidRDefault="00256B13">
      <w:pPr>
        <w:suppressAutoHyphens w:val="0"/>
        <w:rPr>
          <w:sz w:val="22"/>
          <w:szCs w:val="22"/>
        </w:rPr>
      </w:pPr>
      <w:r>
        <w:rPr>
          <w:sz w:val="22"/>
          <w:szCs w:val="22"/>
        </w:rPr>
        <w:t xml:space="preserve">2022. gadā kvalitātes dienesta Uzraudzības departaments veicis 540 pārbaudes (2021. gadā – 405) un </w:t>
      </w:r>
      <w:r>
        <w:rPr>
          <w:sz w:val="22"/>
          <w:szCs w:val="22"/>
        </w:rPr>
        <w:t>pieņēmis lēmumu</w:t>
      </w:r>
      <w:r>
        <w:rPr>
          <w:sz w:val="22"/>
          <w:szCs w:val="22"/>
        </w:rPr>
        <w:t xml:space="preserve"> vienā administratīv</w:t>
      </w:r>
      <w:r>
        <w:rPr>
          <w:sz w:val="22"/>
          <w:szCs w:val="22"/>
        </w:rPr>
        <w:t xml:space="preserve">ā pārkāpuma procesā (2021. gadā – 0). </w:t>
      </w:r>
    </w:p>
    <w:p w14:paraId="2E29D879" w14:textId="77777777" w:rsidR="00087872" w:rsidRDefault="00087872">
      <w:pPr>
        <w:pStyle w:val="Virsraksts31"/>
        <w:rPr>
          <w:sz w:val="22"/>
          <w:szCs w:val="22"/>
        </w:rPr>
      </w:pPr>
    </w:p>
    <w:p w14:paraId="1662589A" w14:textId="77777777" w:rsidR="00087872" w:rsidRDefault="00256B13" w:rsidP="00F5276E">
      <w:pPr>
        <w:pStyle w:val="Virsraksts21"/>
      </w:pPr>
      <w:bookmarkStart w:id="61" w:name="_Toc139120232"/>
      <w:r>
        <w:t>2.3. Kvalitātes dienesta īstenotie projekti un to rezultāti</w:t>
      </w:r>
      <w:bookmarkEnd w:id="61"/>
    </w:p>
    <w:p w14:paraId="55EDB9BA" w14:textId="77777777" w:rsidR="00087872" w:rsidRDefault="00256B13">
      <w:pPr>
        <w:pStyle w:val="Virsraksts31"/>
      </w:pPr>
      <w:bookmarkStart w:id="62" w:name="_Toc139120233"/>
      <w:r>
        <w:t>2.3.1. ESF projekta Nr.8.3.4.0/16/I/001 “Atbalsts priekšlaicīgas mācību pārtraukšanas samazināšanai” (</w:t>
      </w:r>
      <w:proofErr w:type="spellStart"/>
      <w:r>
        <w:t>PuMPuRS</w:t>
      </w:r>
      <w:proofErr w:type="spellEnd"/>
      <w:r>
        <w:t>) īstenošana</w:t>
      </w:r>
      <w:bookmarkEnd w:id="62"/>
    </w:p>
    <w:p w14:paraId="1BFAEDBD" w14:textId="77777777" w:rsidR="00087872" w:rsidRDefault="00256B13">
      <w:pPr>
        <w:pStyle w:val="virsraksts60"/>
        <w:rPr>
          <w:b w:val="0"/>
          <w:bCs/>
          <w:i w:val="0"/>
          <w:iCs/>
          <w:color w:val="auto"/>
          <w:sz w:val="22"/>
          <w:szCs w:val="22"/>
        </w:rPr>
      </w:pPr>
      <w:r>
        <w:rPr>
          <w:b w:val="0"/>
          <w:i w:val="0"/>
          <w:color w:val="auto"/>
          <w:sz w:val="22"/>
          <w:szCs w:val="22"/>
        </w:rPr>
        <w:t xml:space="preserve">2022. gadā kvalitātes </w:t>
      </w:r>
      <w:r>
        <w:rPr>
          <w:b w:val="0"/>
          <w:i w:val="0"/>
          <w:color w:val="auto"/>
          <w:sz w:val="22"/>
          <w:szCs w:val="22"/>
        </w:rPr>
        <w:t xml:space="preserve">dienests turpināja īstenot darbības programmas “Izaugsme un nodarbinātība” 8.3.4. specifiskā atbalsta mērķa “Samazināt priekšlaicīgu mācību pārtraukšanu, īstenojot preventīvus un intervences pasākumus” projektu Nr.8.3.4.0/16/I/001 “Atbalsts priekšlaicīgas </w:t>
      </w:r>
      <w:r>
        <w:rPr>
          <w:b w:val="0"/>
          <w:i w:val="0"/>
          <w:color w:val="auto"/>
          <w:sz w:val="22"/>
          <w:szCs w:val="22"/>
        </w:rPr>
        <w:t>mācību pārtraukšanas samazināšanai” (</w:t>
      </w:r>
      <w:proofErr w:type="spellStart"/>
      <w:r>
        <w:rPr>
          <w:b w:val="0"/>
          <w:i w:val="0"/>
          <w:color w:val="auto"/>
          <w:sz w:val="22"/>
          <w:szCs w:val="22"/>
        </w:rPr>
        <w:t>PuMPuRS</w:t>
      </w:r>
      <w:proofErr w:type="spellEnd"/>
      <w:r>
        <w:rPr>
          <w:b w:val="0"/>
          <w:i w:val="0"/>
          <w:color w:val="auto"/>
          <w:sz w:val="22"/>
          <w:szCs w:val="22"/>
        </w:rPr>
        <w:t>) ar mērķi samazināt bērnu un jauniešu priekšlaicīgu mācību pārtraukšanu, īstenojot preventīvus un intervences pasākumus (skat. 5. attēlu).</w:t>
      </w:r>
    </w:p>
    <w:p w14:paraId="047F24FC" w14:textId="77777777" w:rsidR="00087872" w:rsidRDefault="00256B13">
      <w:pPr>
        <w:pStyle w:val="virsraksts60"/>
        <w:contextualSpacing/>
        <w:jc w:val="right"/>
      </w:pPr>
      <w:r>
        <w:rPr>
          <w:b w:val="0"/>
          <w:i w:val="0"/>
          <w:color w:val="auto"/>
          <w:sz w:val="22"/>
          <w:szCs w:val="22"/>
        </w:rPr>
        <w:t xml:space="preserve">5. </w:t>
      </w:r>
      <w:r>
        <w:rPr>
          <w:b w:val="0"/>
          <w:color w:val="auto"/>
          <w:sz w:val="22"/>
          <w:szCs w:val="22"/>
        </w:rPr>
        <w:t>attēls</w:t>
      </w:r>
    </w:p>
    <w:p w14:paraId="1CBA894D" w14:textId="77777777" w:rsidR="00087872" w:rsidRDefault="00256B13">
      <w:pPr>
        <w:pStyle w:val="virsraksts60"/>
        <w:contextualSpacing/>
        <w:jc w:val="center"/>
        <w:rPr>
          <w:color w:val="auto"/>
          <w:sz w:val="22"/>
          <w:szCs w:val="22"/>
        </w:rPr>
      </w:pPr>
      <w:r>
        <w:rPr>
          <w:b w:val="0"/>
          <w:color w:val="auto"/>
          <w:sz w:val="22"/>
          <w:szCs w:val="22"/>
        </w:rPr>
        <w:t xml:space="preserve">Projekta </w:t>
      </w:r>
      <w:proofErr w:type="spellStart"/>
      <w:r>
        <w:rPr>
          <w:b w:val="0"/>
          <w:color w:val="auto"/>
          <w:sz w:val="22"/>
          <w:szCs w:val="22"/>
        </w:rPr>
        <w:t>PuMPuRS</w:t>
      </w:r>
      <w:proofErr w:type="spellEnd"/>
      <w:r>
        <w:rPr>
          <w:b w:val="0"/>
          <w:color w:val="auto"/>
          <w:sz w:val="22"/>
          <w:szCs w:val="22"/>
        </w:rPr>
        <w:t xml:space="preserve"> darbības jomas</w:t>
      </w:r>
    </w:p>
    <w:p w14:paraId="3B3219D4" w14:textId="77777777" w:rsidR="00087872" w:rsidRDefault="00256B13">
      <w:pPr>
        <w:pStyle w:val="virsraksts60"/>
        <w:jc w:val="center"/>
        <w:rPr>
          <w:b w:val="0"/>
          <w:bCs/>
          <w:i w:val="0"/>
          <w:iCs/>
          <w:color w:val="auto"/>
          <w:sz w:val="22"/>
          <w:szCs w:val="22"/>
        </w:rPr>
      </w:pPr>
      <w:r>
        <w:rPr>
          <w:noProof/>
        </w:rPr>
        <w:drawing>
          <wp:inline distT="0" distB="0" distL="0" distR="0" wp14:anchorId="723EBD0F" wp14:editId="6BE7D1CC">
            <wp:extent cx="4326255" cy="2385060"/>
            <wp:effectExtent l="0" t="0" r="0" b="0"/>
            <wp:docPr id="7" name="Picture 12" descr="C:\Users\Jana\Documents\IKVD\Mājaslapai\Pump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C:\Users\Jana\Documents\IKVD\Mājaslapai\Pumpurs.png"/>
                    <pic:cNvPicPr>
                      <a:picLocks noChangeAspect="1" noChangeArrowheads="1"/>
                    </pic:cNvPicPr>
                  </pic:nvPicPr>
                  <pic:blipFill>
                    <a:blip r:embed="rId19"/>
                    <a:stretch>
                      <a:fillRect/>
                    </a:stretch>
                  </pic:blipFill>
                  <pic:spPr bwMode="auto">
                    <a:xfrm>
                      <a:off x="0" y="0"/>
                      <a:ext cx="4326255" cy="2385060"/>
                    </a:xfrm>
                    <a:prstGeom prst="rect">
                      <a:avLst/>
                    </a:prstGeom>
                  </pic:spPr>
                </pic:pic>
              </a:graphicData>
            </a:graphic>
          </wp:inline>
        </w:drawing>
      </w:r>
    </w:p>
    <w:p w14:paraId="0C159F1A" w14:textId="77777777" w:rsidR="00087872" w:rsidRDefault="00256B13">
      <w:pPr>
        <w:pStyle w:val="virsraksts60"/>
      </w:pPr>
      <w:r>
        <w:rPr>
          <w:b w:val="0"/>
          <w:i w:val="0"/>
          <w:color w:val="auto"/>
          <w:sz w:val="22"/>
          <w:szCs w:val="22"/>
        </w:rPr>
        <w:t>Līdz 2022. gada beigām proje</w:t>
      </w:r>
      <w:r>
        <w:rPr>
          <w:b w:val="0"/>
          <w:i w:val="0"/>
          <w:color w:val="auto"/>
          <w:sz w:val="22"/>
          <w:szCs w:val="22"/>
        </w:rPr>
        <w:t>ktā bija iesaistījušās 599 vispārējās izglītības iestādes no 41 pašvaldības un 36 profesionālās izglītības iestādes (skat. 6. attēlu)</w:t>
      </w:r>
    </w:p>
    <w:p w14:paraId="34856E0E" w14:textId="77777777" w:rsidR="00087872" w:rsidRDefault="00256B13">
      <w:pPr>
        <w:pStyle w:val="virsraksts60"/>
        <w:jc w:val="right"/>
      </w:pPr>
      <w:r>
        <w:rPr>
          <w:b w:val="0"/>
          <w:color w:val="auto"/>
          <w:sz w:val="22"/>
          <w:szCs w:val="22"/>
        </w:rPr>
        <w:t>6. attēls</w:t>
      </w:r>
    </w:p>
    <w:p w14:paraId="7DDBDF1B" w14:textId="77777777" w:rsidR="00087872" w:rsidRDefault="00256B13">
      <w:pPr>
        <w:pStyle w:val="virsraksts60"/>
        <w:jc w:val="center"/>
      </w:pPr>
      <w:r>
        <w:rPr>
          <w:b w:val="0"/>
          <w:color w:val="auto"/>
          <w:sz w:val="22"/>
          <w:szCs w:val="22"/>
        </w:rPr>
        <w:t xml:space="preserve">Projekts </w:t>
      </w:r>
      <w:proofErr w:type="spellStart"/>
      <w:r>
        <w:rPr>
          <w:b w:val="0"/>
          <w:color w:val="auto"/>
          <w:sz w:val="22"/>
          <w:szCs w:val="22"/>
        </w:rPr>
        <w:t>PuMPuRS</w:t>
      </w:r>
      <w:proofErr w:type="spellEnd"/>
      <w:r>
        <w:rPr>
          <w:b w:val="0"/>
          <w:color w:val="auto"/>
          <w:sz w:val="22"/>
          <w:szCs w:val="22"/>
        </w:rPr>
        <w:t xml:space="preserve"> skaitļos (2022. gads)</w:t>
      </w:r>
    </w:p>
    <w:p w14:paraId="770B0EB5" w14:textId="77777777" w:rsidR="00087872" w:rsidRDefault="00256B13">
      <w:pPr>
        <w:pStyle w:val="virsraksts60"/>
        <w:jc w:val="center"/>
      </w:pPr>
      <w:r>
        <w:rPr>
          <w:noProof/>
        </w:rPr>
        <w:drawing>
          <wp:inline distT="0" distB="0" distL="0" distR="0" wp14:anchorId="376867EF" wp14:editId="3B681A29">
            <wp:extent cx="5838190" cy="3200400"/>
            <wp:effectExtent l="0" t="0" r="0" b="0"/>
            <wp:docPr id="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1"/>
                    <pic:cNvPicPr>
                      <a:picLocks noChangeAspect="1" noChangeArrowheads="1"/>
                    </pic:cNvPicPr>
                  </pic:nvPicPr>
                  <pic:blipFill>
                    <a:blip r:embed="rId20"/>
                    <a:stretch>
                      <a:fillRect/>
                    </a:stretch>
                  </pic:blipFill>
                  <pic:spPr bwMode="auto">
                    <a:xfrm>
                      <a:off x="0" y="0"/>
                      <a:ext cx="5838190" cy="3200400"/>
                    </a:xfrm>
                    <a:prstGeom prst="rect">
                      <a:avLst/>
                    </a:prstGeom>
                  </pic:spPr>
                </pic:pic>
              </a:graphicData>
            </a:graphic>
          </wp:inline>
        </w:drawing>
      </w:r>
    </w:p>
    <w:p w14:paraId="7E40385A" w14:textId="77777777" w:rsidR="00087872" w:rsidRDefault="00087872">
      <w:pPr>
        <w:pStyle w:val="virsraksts60"/>
        <w:rPr>
          <w:b w:val="0"/>
          <w:i w:val="0"/>
          <w:color w:val="auto"/>
          <w:sz w:val="22"/>
          <w:szCs w:val="22"/>
        </w:rPr>
      </w:pPr>
    </w:p>
    <w:p w14:paraId="00BEC59E" w14:textId="77777777" w:rsidR="00087872" w:rsidRDefault="00256B13">
      <w:pPr>
        <w:pStyle w:val="virsraksts60"/>
      </w:pPr>
      <w:r>
        <w:rPr>
          <w:b w:val="0"/>
          <w:i w:val="0"/>
          <w:color w:val="auto"/>
          <w:sz w:val="22"/>
          <w:szCs w:val="22"/>
        </w:rPr>
        <w:t>Saistībā ar Covid-19 pandēmijas novēršanai noteikto ārkārtējo situācij</w:t>
      </w:r>
      <w:r>
        <w:rPr>
          <w:b w:val="0"/>
          <w:i w:val="0"/>
          <w:color w:val="auto"/>
          <w:sz w:val="22"/>
          <w:szCs w:val="22"/>
        </w:rPr>
        <w:t>u daļa projekta aktivitāšu tika īstenotas gan attālināti, gan klātienē. Ņemot vērā, ka ārkārtējās situācijas un attālināto mācību laikā bērniem ar priekšlaicīgu mācību pārtraukšanas risku atbalsts ir īpaši nepieciešams, un šādu bērnu skaits pārskata period</w:t>
      </w:r>
      <w:r>
        <w:rPr>
          <w:b w:val="0"/>
          <w:i w:val="0"/>
          <w:color w:val="auto"/>
          <w:sz w:val="22"/>
          <w:szCs w:val="22"/>
        </w:rPr>
        <w:t xml:space="preserve">ā pieauga, attālināto mācību laikā tika īstenotas individuālās konsultācijas un nodrošinātas </w:t>
      </w:r>
      <w:proofErr w:type="spellStart"/>
      <w:r>
        <w:rPr>
          <w:b w:val="0"/>
          <w:i w:val="0"/>
          <w:color w:val="auto"/>
          <w:sz w:val="22"/>
          <w:szCs w:val="22"/>
        </w:rPr>
        <w:t>supervīzijas</w:t>
      </w:r>
      <w:proofErr w:type="spellEnd"/>
      <w:r>
        <w:rPr>
          <w:b w:val="0"/>
          <w:i w:val="0"/>
          <w:color w:val="auto"/>
          <w:sz w:val="22"/>
          <w:szCs w:val="22"/>
        </w:rPr>
        <w:t xml:space="preserve"> pedagogiem attālināti. Laikā, kad epidemioloģiskās drošības noteikumi atļāva sniegt klātienes individuālās konsultācijas, atsākās to sniegšana klātien</w:t>
      </w:r>
      <w:r>
        <w:rPr>
          <w:b w:val="0"/>
          <w:i w:val="0"/>
          <w:color w:val="auto"/>
          <w:sz w:val="22"/>
          <w:szCs w:val="22"/>
        </w:rPr>
        <w:t>ē. Tāpat 2022. gadā tika sniegts ekonomiskais atbalsts ēdināšanas, sabiedriskā transporta, naktsmītnes, individuālo mācību līdzekļu un individuālās lietošanas priekšmetu nodrošināšanai (skat. 7. attēlu).</w:t>
      </w:r>
    </w:p>
    <w:p w14:paraId="31AFE7AF" w14:textId="77777777" w:rsidR="00087872" w:rsidRDefault="00256B13">
      <w:pPr>
        <w:pStyle w:val="virsraksts60"/>
        <w:jc w:val="right"/>
      </w:pPr>
      <w:r>
        <w:rPr>
          <w:b w:val="0"/>
          <w:i w:val="0"/>
          <w:color w:val="auto"/>
          <w:sz w:val="22"/>
          <w:szCs w:val="22"/>
        </w:rPr>
        <w:t>7. attēls</w:t>
      </w:r>
    </w:p>
    <w:p w14:paraId="445801A3" w14:textId="77777777" w:rsidR="00087872" w:rsidRDefault="00256B13">
      <w:pPr>
        <w:pStyle w:val="virsraksts60"/>
        <w:jc w:val="center"/>
      </w:pPr>
      <w:r>
        <w:rPr>
          <w:b w:val="0"/>
          <w:i w:val="0"/>
          <w:color w:val="auto"/>
          <w:sz w:val="22"/>
          <w:szCs w:val="22"/>
        </w:rPr>
        <w:t>2022. gadā sniegtais ekonomiskais atbalsts</w:t>
      </w:r>
    </w:p>
    <w:p w14:paraId="7F43A01E" w14:textId="77777777" w:rsidR="00087872" w:rsidRDefault="00256B13">
      <w:pPr>
        <w:pStyle w:val="virsraksts60"/>
        <w:jc w:val="center"/>
      </w:pPr>
      <w:r>
        <w:rPr>
          <w:noProof/>
        </w:rPr>
        <w:drawing>
          <wp:inline distT="0" distB="0" distL="0" distR="0" wp14:anchorId="23C064AC" wp14:editId="26E2E2CB">
            <wp:extent cx="4716780" cy="2225040"/>
            <wp:effectExtent l="0" t="0" r="0" b="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629595" w14:textId="77777777" w:rsidR="00087872" w:rsidRDefault="00256B13">
      <w:pPr>
        <w:pStyle w:val="virsraksts60"/>
      </w:pPr>
      <w:r>
        <w:rPr>
          <w:b w:val="0"/>
          <w:i w:val="0"/>
          <w:color w:val="auto"/>
          <w:sz w:val="22"/>
          <w:szCs w:val="22"/>
        </w:rPr>
        <w:t>2022. gadā tika sagatavoti 93497 individuālie atbalsta plāni (IAP), sniedzot atbalstu 42334 izglītojamiem (skat. 8. attēlu). IAP skaits ir būtiski lielāks par izglītojamo skaitu, jo projekta īstenošanas laikā vienam izglītojamam var būt sagatavoti un īs</w:t>
      </w:r>
      <w:r>
        <w:rPr>
          <w:b w:val="0"/>
          <w:i w:val="0"/>
          <w:color w:val="auto"/>
          <w:sz w:val="22"/>
          <w:szCs w:val="22"/>
        </w:rPr>
        <w:t>tenoti vairāki plāni (katram semestrim savs plāns).</w:t>
      </w:r>
    </w:p>
    <w:p w14:paraId="41116A8B" w14:textId="77777777" w:rsidR="00087872" w:rsidRDefault="00256B13">
      <w:pPr>
        <w:pStyle w:val="virsraksts60"/>
        <w:jc w:val="right"/>
      </w:pPr>
      <w:r>
        <w:rPr>
          <w:b w:val="0"/>
          <w:i w:val="0"/>
          <w:color w:val="auto"/>
          <w:sz w:val="22"/>
          <w:szCs w:val="22"/>
        </w:rPr>
        <w:t>8. attēls</w:t>
      </w:r>
    </w:p>
    <w:p w14:paraId="5431222C" w14:textId="77777777" w:rsidR="00087872" w:rsidRDefault="00256B13">
      <w:pPr>
        <w:pStyle w:val="virsraksts60"/>
        <w:jc w:val="center"/>
      </w:pPr>
      <w:r>
        <w:rPr>
          <w:b w:val="0"/>
          <w:i w:val="0"/>
          <w:color w:val="auto"/>
          <w:sz w:val="22"/>
          <w:szCs w:val="22"/>
        </w:rPr>
        <w:t>2022. gadā IAP minētie priekšlaicīgas mācību pārtraukšanas riski</w:t>
      </w:r>
    </w:p>
    <w:p w14:paraId="7BF8DD5A" w14:textId="77777777" w:rsidR="00087872" w:rsidRDefault="00256B13">
      <w:pPr>
        <w:pStyle w:val="virsraksts60"/>
        <w:jc w:val="center"/>
      </w:pPr>
      <w:r>
        <w:rPr>
          <w:noProof/>
        </w:rPr>
        <w:drawing>
          <wp:inline distT="0" distB="0" distL="0" distR="0" wp14:anchorId="69234416" wp14:editId="08F7DEA1">
            <wp:extent cx="4572000" cy="2743200"/>
            <wp:effectExtent l="0" t="0" r="0" b="0"/>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50D111" w14:textId="77777777" w:rsidR="00087872" w:rsidRDefault="00256B13">
      <w:pPr>
        <w:pStyle w:val="virsraksts60"/>
        <w:rPr>
          <w:b w:val="0"/>
          <w:bCs/>
          <w:i w:val="0"/>
          <w:iCs/>
          <w:sz w:val="22"/>
          <w:szCs w:val="22"/>
        </w:rPr>
      </w:pPr>
      <w:r>
        <w:rPr>
          <w:b w:val="0"/>
          <w:i w:val="0"/>
          <w:color w:val="auto"/>
          <w:sz w:val="22"/>
          <w:szCs w:val="22"/>
        </w:rPr>
        <w:t xml:space="preserve">Lai nodrošinātu partneru informēšanu un iesaisti projektā līdz 2022. gada beigām ir notikuši 599 </w:t>
      </w:r>
      <w:proofErr w:type="spellStart"/>
      <w:r>
        <w:rPr>
          <w:b w:val="0"/>
          <w:i w:val="0"/>
          <w:color w:val="auto"/>
          <w:sz w:val="22"/>
          <w:szCs w:val="22"/>
        </w:rPr>
        <w:t>ievadsemināri</w:t>
      </w:r>
      <w:proofErr w:type="spellEnd"/>
      <w:r>
        <w:rPr>
          <w:b w:val="0"/>
          <w:i w:val="0"/>
          <w:color w:val="auto"/>
          <w:sz w:val="22"/>
          <w:szCs w:val="22"/>
        </w:rPr>
        <w:t xml:space="preserve"> izglītības iestā</w:t>
      </w:r>
      <w:r>
        <w:rPr>
          <w:b w:val="0"/>
          <w:i w:val="0"/>
          <w:color w:val="auto"/>
          <w:sz w:val="22"/>
          <w:szCs w:val="22"/>
        </w:rPr>
        <w:t xml:space="preserve">žu darbiniekiem, palīdzot uzsākt darbu projektā un sniedzot pamatinformāciju par </w:t>
      </w:r>
      <w:proofErr w:type="spellStart"/>
      <w:r>
        <w:rPr>
          <w:b w:val="0"/>
          <w:i w:val="0"/>
          <w:color w:val="auto"/>
          <w:sz w:val="22"/>
          <w:szCs w:val="22"/>
        </w:rPr>
        <w:t>prevencijas</w:t>
      </w:r>
      <w:proofErr w:type="spellEnd"/>
      <w:r>
        <w:rPr>
          <w:b w:val="0"/>
          <w:i w:val="0"/>
          <w:color w:val="auto"/>
          <w:sz w:val="22"/>
          <w:szCs w:val="22"/>
        </w:rPr>
        <w:t xml:space="preserve"> sistēmas izveidi priekšlaicīgas mācību pārtraukšanas risku novēršanā. </w:t>
      </w:r>
      <w:proofErr w:type="spellStart"/>
      <w:r>
        <w:rPr>
          <w:b w:val="0"/>
          <w:i w:val="0"/>
          <w:color w:val="auto"/>
          <w:sz w:val="22"/>
          <w:szCs w:val="22"/>
        </w:rPr>
        <w:t>Ievadsemināru</w:t>
      </w:r>
      <w:proofErr w:type="spellEnd"/>
      <w:r>
        <w:rPr>
          <w:b w:val="0"/>
          <w:i w:val="0"/>
          <w:color w:val="auto"/>
          <w:sz w:val="22"/>
          <w:szCs w:val="22"/>
        </w:rPr>
        <w:t xml:space="preserve"> galvenais mērķis ir attīstīt sadarbības partneru izpratni par priekšlaicīgas mā</w:t>
      </w:r>
      <w:r>
        <w:rPr>
          <w:b w:val="0"/>
          <w:i w:val="0"/>
          <w:color w:val="auto"/>
          <w:sz w:val="22"/>
          <w:szCs w:val="22"/>
        </w:rPr>
        <w:t xml:space="preserve">cību pārtraukšanas specifiku un risku grupām, atbalsta pasākumiem, iesaistītajām pusēm un ESF projekta īstenošanas specifiskajām prasībām. </w:t>
      </w:r>
    </w:p>
    <w:p w14:paraId="587126F5" w14:textId="77777777" w:rsidR="00087872" w:rsidRDefault="00256B13">
      <w:pPr>
        <w:pStyle w:val="virsraksts60"/>
        <w:rPr>
          <w:b w:val="0"/>
          <w:bCs/>
          <w:i w:val="0"/>
          <w:iCs/>
          <w:sz w:val="22"/>
          <w:szCs w:val="22"/>
        </w:rPr>
      </w:pPr>
      <w:r>
        <w:rPr>
          <w:b w:val="0"/>
          <w:i w:val="0"/>
          <w:color w:val="auto"/>
          <w:sz w:val="22"/>
          <w:szCs w:val="22"/>
        </w:rPr>
        <w:t xml:space="preserve">Priekšlaicīgas mācību pārtraukšanas </w:t>
      </w:r>
      <w:proofErr w:type="spellStart"/>
      <w:r>
        <w:rPr>
          <w:b w:val="0"/>
          <w:i w:val="0"/>
          <w:color w:val="auto"/>
          <w:sz w:val="22"/>
          <w:szCs w:val="22"/>
        </w:rPr>
        <w:t>prevencijas</w:t>
      </w:r>
      <w:proofErr w:type="spellEnd"/>
      <w:r>
        <w:rPr>
          <w:b w:val="0"/>
          <w:i w:val="0"/>
          <w:color w:val="auto"/>
          <w:sz w:val="22"/>
          <w:szCs w:val="22"/>
        </w:rPr>
        <w:t xml:space="preserve"> sistēmas izveidei 2022. gadā ir īstenotas 36 darbnīcas pašvaldību </w:t>
      </w:r>
      <w:proofErr w:type="spellStart"/>
      <w:r>
        <w:rPr>
          <w:b w:val="0"/>
          <w:i w:val="0"/>
          <w:color w:val="auto"/>
          <w:sz w:val="22"/>
          <w:szCs w:val="22"/>
        </w:rPr>
        <w:t>st</w:t>
      </w:r>
      <w:r>
        <w:rPr>
          <w:b w:val="0"/>
          <w:i w:val="0"/>
          <w:color w:val="auto"/>
          <w:sz w:val="22"/>
          <w:szCs w:val="22"/>
        </w:rPr>
        <w:t>arpprofesionāļu</w:t>
      </w:r>
      <w:proofErr w:type="spellEnd"/>
      <w:r>
        <w:rPr>
          <w:b w:val="0"/>
          <w:i w:val="0"/>
          <w:color w:val="auto"/>
          <w:sz w:val="22"/>
          <w:szCs w:val="22"/>
        </w:rPr>
        <w:t xml:space="preserve"> komandām, kā arī 469 darbnīcas izglītības iestāžu pedagogiem. </w:t>
      </w:r>
    </w:p>
    <w:p w14:paraId="07F05E2C" w14:textId="77777777" w:rsidR="00087872" w:rsidRDefault="00256B13">
      <w:pPr>
        <w:pStyle w:val="virsraksts60"/>
        <w:rPr>
          <w:b w:val="0"/>
          <w:i w:val="0"/>
          <w:color w:val="auto"/>
          <w:sz w:val="22"/>
          <w:szCs w:val="22"/>
        </w:rPr>
      </w:pPr>
      <w:r>
        <w:rPr>
          <w:b w:val="0"/>
          <w:i w:val="0"/>
          <w:color w:val="auto"/>
          <w:sz w:val="22"/>
          <w:szCs w:val="22"/>
        </w:rPr>
        <w:t xml:space="preserve">Viens no projekta darbības virzieniem ir pedagogiem, sociālajiem pedagogiem, kā arī pašvaldības jaunatnes lietu speciālistiem un jaunatnes darbiniekiem paredzētas profesionālās </w:t>
      </w:r>
      <w:r>
        <w:rPr>
          <w:b w:val="0"/>
          <w:i w:val="0"/>
          <w:color w:val="auto"/>
          <w:sz w:val="22"/>
          <w:szCs w:val="22"/>
        </w:rPr>
        <w:t>kompetences pilnveides programmu izstrāde un īstenošana. Līdz 2022. gada beigām ir izstrādātas 10 profesionālās kompetences pilnveides programmas.</w:t>
      </w:r>
    </w:p>
    <w:p w14:paraId="2B59774E" w14:textId="77777777" w:rsidR="00087872" w:rsidRDefault="00256B13">
      <w:pPr>
        <w:pStyle w:val="virsraksts60"/>
        <w:rPr>
          <w:b w:val="0"/>
          <w:i w:val="0"/>
          <w:color w:val="auto"/>
          <w:sz w:val="22"/>
          <w:szCs w:val="22"/>
        </w:rPr>
      </w:pPr>
      <w:r>
        <w:rPr>
          <w:b w:val="0"/>
          <w:i w:val="0"/>
          <w:color w:val="auto"/>
          <w:sz w:val="22"/>
          <w:szCs w:val="22"/>
        </w:rPr>
        <w:t xml:space="preserve">Visa projekta īstenošanas laikā izglītības iestādēs tiek nodrošinātas </w:t>
      </w:r>
      <w:proofErr w:type="spellStart"/>
      <w:r>
        <w:rPr>
          <w:b w:val="0"/>
          <w:i w:val="0"/>
          <w:color w:val="auto"/>
          <w:sz w:val="22"/>
          <w:szCs w:val="22"/>
        </w:rPr>
        <w:t>supervīzijas</w:t>
      </w:r>
      <w:proofErr w:type="spellEnd"/>
      <w:r>
        <w:rPr>
          <w:b w:val="0"/>
          <w:i w:val="0"/>
          <w:color w:val="auto"/>
          <w:sz w:val="22"/>
          <w:szCs w:val="22"/>
        </w:rPr>
        <w:t xml:space="preserve"> – konsultatīvs atbalsts, k</w:t>
      </w:r>
      <w:r>
        <w:rPr>
          <w:b w:val="0"/>
          <w:i w:val="0"/>
          <w:color w:val="auto"/>
          <w:sz w:val="22"/>
          <w:szCs w:val="22"/>
        </w:rPr>
        <w:t xml:space="preserve">as palīdz pedagogiem tikt galā ar profesionālās darbības izaicinājumiem. </w:t>
      </w:r>
      <w:proofErr w:type="spellStart"/>
      <w:r>
        <w:rPr>
          <w:b w:val="0"/>
          <w:i w:val="0"/>
          <w:color w:val="auto"/>
          <w:sz w:val="22"/>
          <w:szCs w:val="22"/>
        </w:rPr>
        <w:t>Supervīzijas</w:t>
      </w:r>
      <w:proofErr w:type="spellEnd"/>
      <w:r>
        <w:rPr>
          <w:b w:val="0"/>
          <w:i w:val="0"/>
          <w:color w:val="auto"/>
          <w:sz w:val="22"/>
          <w:szCs w:val="22"/>
        </w:rPr>
        <w:t xml:space="preserve"> sniedz pedagogiem būtiskus resursus turpmākajam darbam ar priekšlaicīgas mācību pārtraukšanas riska izglītojamiem. Līdz 2022. gada beigām ir notikušas 1 052 </w:t>
      </w:r>
      <w:proofErr w:type="spellStart"/>
      <w:r>
        <w:rPr>
          <w:b w:val="0"/>
          <w:i w:val="0"/>
          <w:color w:val="auto"/>
          <w:sz w:val="22"/>
          <w:szCs w:val="22"/>
        </w:rPr>
        <w:t>supervīzijas</w:t>
      </w:r>
      <w:proofErr w:type="spellEnd"/>
      <w:r>
        <w:rPr>
          <w:b w:val="0"/>
          <w:i w:val="0"/>
          <w:color w:val="auto"/>
          <w:sz w:val="22"/>
          <w:szCs w:val="22"/>
        </w:rPr>
        <w:t>.</w:t>
      </w:r>
      <w:r>
        <w:rPr>
          <w:b w:val="0"/>
          <w:i w:val="0"/>
          <w:color w:val="auto"/>
          <w:sz w:val="22"/>
          <w:szCs w:val="22"/>
        </w:rPr>
        <w:t xml:space="preserve"> </w:t>
      </w:r>
    </w:p>
    <w:p w14:paraId="2242C374" w14:textId="77777777" w:rsidR="00087872" w:rsidRDefault="00256B13">
      <w:pPr>
        <w:pStyle w:val="virsraksts60"/>
      </w:pPr>
      <w:r>
        <w:rPr>
          <w:b w:val="0"/>
          <w:i w:val="0"/>
          <w:color w:val="auto"/>
          <w:sz w:val="22"/>
          <w:szCs w:val="22"/>
        </w:rPr>
        <w:t xml:space="preserve">Papildus individuālajam atbalstam, ko izglītojamie saņem projekta </w:t>
      </w:r>
      <w:proofErr w:type="spellStart"/>
      <w:r>
        <w:rPr>
          <w:b w:val="0"/>
          <w:i w:val="0"/>
          <w:color w:val="auto"/>
          <w:sz w:val="22"/>
          <w:szCs w:val="22"/>
        </w:rPr>
        <w:t>PuMPuRS</w:t>
      </w:r>
      <w:proofErr w:type="spellEnd"/>
      <w:r>
        <w:rPr>
          <w:b w:val="0"/>
          <w:i w:val="0"/>
          <w:color w:val="auto"/>
          <w:sz w:val="22"/>
          <w:szCs w:val="22"/>
        </w:rPr>
        <w:t xml:space="preserve"> ietvaros, lai veicinātu atbalsta aktivitātes jauniešu vidū arī ārpus formālās izglītības, tiek atbalstīti jauniešu iniciatīvu projekti. Šie projekti ir vērsti uz priekšlaicīgas māc</w:t>
      </w:r>
      <w:r>
        <w:rPr>
          <w:b w:val="0"/>
          <w:i w:val="0"/>
          <w:color w:val="auto"/>
          <w:sz w:val="22"/>
          <w:szCs w:val="22"/>
        </w:rPr>
        <w:t xml:space="preserve">ību pārtraukšanas riska grupas izglītojamo motivācijas palielināšanu turpināt izglītību un viņu aktīvas līdzdalības veicināšanu ikdienas dzīvē. Jaunatnes iniciatīvu projektu konkursus rīko projektā </w:t>
      </w:r>
      <w:proofErr w:type="spellStart"/>
      <w:r>
        <w:rPr>
          <w:b w:val="0"/>
          <w:i w:val="0"/>
          <w:color w:val="auto"/>
          <w:sz w:val="22"/>
          <w:szCs w:val="22"/>
        </w:rPr>
        <w:t>PuMPuRS</w:t>
      </w:r>
      <w:proofErr w:type="spellEnd"/>
      <w:r>
        <w:rPr>
          <w:b w:val="0"/>
          <w:i w:val="0"/>
          <w:color w:val="auto"/>
          <w:sz w:val="22"/>
          <w:szCs w:val="22"/>
        </w:rPr>
        <w:t xml:space="preserve"> iesaistītās pašvaldības. Līdz 2022. gada beigām ir</w:t>
      </w:r>
      <w:r>
        <w:rPr>
          <w:b w:val="0"/>
          <w:i w:val="0"/>
          <w:color w:val="auto"/>
          <w:sz w:val="22"/>
          <w:szCs w:val="22"/>
        </w:rPr>
        <w:t xml:space="preserve"> īstenoti 499 projekti, bet īstenošanā ir 61 projekts.</w:t>
      </w:r>
    </w:p>
    <w:p w14:paraId="765103FE" w14:textId="77777777" w:rsidR="00087872" w:rsidRDefault="00087872">
      <w:pPr>
        <w:pStyle w:val="virsraksts60"/>
        <w:rPr>
          <w:b w:val="0"/>
          <w:i w:val="0"/>
          <w:color w:val="auto"/>
          <w:sz w:val="22"/>
          <w:szCs w:val="22"/>
        </w:rPr>
      </w:pPr>
    </w:p>
    <w:p w14:paraId="1D1312B9" w14:textId="77777777" w:rsidR="00087872" w:rsidRDefault="00256B13">
      <w:pPr>
        <w:pStyle w:val="Virsraksts31"/>
      </w:pPr>
      <w:bookmarkStart w:id="63" w:name="_Toc139120234"/>
      <w:r>
        <w:t>2.3.2. ESF projekta 8.3.6.2. pasākuma projekta “Izglītības kvalitātes monitoringa sistēmas izveide un īstenošana” īstenošana</w:t>
      </w:r>
      <w:bookmarkStart w:id="64" w:name="_Hlk139299750"/>
      <w:bookmarkEnd w:id="63"/>
      <w:bookmarkEnd w:id="64"/>
    </w:p>
    <w:p w14:paraId="7FC208F6" w14:textId="77777777" w:rsidR="00087872" w:rsidRDefault="00256B13">
      <w:pPr>
        <w:pStyle w:val="Pamatteksts"/>
      </w:pPr>
      <w:r>
        <w:t>2022. gadā kvalitātes dienesta eksperti turpināja iesaistīties ESF 8.3.6.2.</w:t>
      </w:r>
      <w:r>
        <w:t xml:space="preserve"> pasākuma “Izglītības kvalitātes monitoringa sistēmas izveide” projekta “Izglītības kvalitātes monitoringa sistēmas izveide un īstenošana” (ESF projekts 8.3.6.2.) aktivitāšu īstenošanā. Projekta mērķis ir izveidot izglītības kvalitātes monitoringa sistēmu </w:t>
      </w:r>
      <w:r>
        <w:t xml:space="preserve">izglītības kvalitātes attīstībai, kas balstās uz statistiskās informācijas, salīdzinošo izglītības pētījumu rezultātu, valsts līmeņa izglītojamo sasniegumu un citu izglītības iestāžu darba rezultātus raksturojošo rādītāju mērīšanu un analīzi, centralizēto </w:t>
      </w:r>
      <w:r>
        <w:t>eksāmenu rezultātu analīzi un akreditācijas, licencēšanas, kā arī pedagogu darbības kvalitātes novērtēšanas informācijas izmantošanu un analīzi, ievērojot vidēja termiņa un ilgtermiņa sasniedzamos nozares stratēģiskos mērķus un rezultātus.</w:t>
      </w:r>
      <w:r>
        <w:rPr>
          <w:rStyle w:val="FootnoteAnchor"/>
        </w:rPr>
        <w:footnoteReference w:id="4"/>
      </w:r>
      <w:r>
        <w:t xml:space="preserve"> Projekts ilgs </w:t>
      </w:r>
      <w:r>
        <w:t>līdz 2023. gada 31. decembrim, to īsteno IZM sadarbībā ar VISC, kvalitātes dienestu, Valsts izglītības attīstības aģentūru un Akadēmiskās informācijas centru.</w:t>
      </w:r>
    </w:p>
    <w:p w14:paraId="51DEC9B1" w14:textId="77777777" w:rsidR="00087872" w:rsidRDefault="00256B13">
      <w:r>
        <w:rPr>
          <w:sz w:val="22"/>
          <w:szCs w:val="22"/>
        </w:rPr>
        <w:t xml:space="preserve">2022. gadā projekta aktivitātes, kurās iesaistīti kvalitātes dienesta eksperti, tika </w:t>
      </w:r>
      <w:r>
        <w:rPr>
          <w:sz w:val="22"/>
          <w:szCs w:val="22"/>
        </w:rPr>
        <w:t>īstenotas vairākos virzienos:</w:t>
      </w:r>
    </w:p>
    <w:p w14:paraId="6AEC5CBF" w14:textId="77777777" w:rsidR="00087872" w:rsidRDefault="00256B13">
      <w:pPr>
        <w:contextualSpacing/>
      </w:pPr>
      <w:r>
        <w:rPr>
          <w:sz w:val="22"/>
          <w:szCs w:val="22"/>
        </w:rPr>
        <w:t>1) Monitoringa rīku izstrāde un aprobēšana, tai skaitā datu vākšana.</w:t>
      </w:r>
    </w:p>
    <w:p w14:paraId="08AEF63D" w14:textId="77777777" w:rsidR="00087872" w:rsidRDefault="00256B13">
      <w:pPr>
        <w:contextualSpacing/>
      </w:pPr>
      <w:r>
        <w:rPr>
          <w:sz w:val="22"/>
          <w:szCs w:val="22"/>
        </w:rPr>
        <w:t xml:space="preserve">Turpinājās darbs pie Skolu efektivitātes monitoringa rīka testēšanas un nepilnību novēršanas; </w:t>
      </w:r>
    </w:p>
    <w:p w14:paraId="3B293689" w14:textId="77777777" w:rsidR="00087872" w:rsidRDefault="00256B13">
      <w:pPr>
        <w:contextualSpacing/>
      </w:pPr>
      <w:r>
        <w:rPr>
          <w:sz w:val="22"/>
          <w:szCs w:val="22"/>
        </w:rPr>
        <w:t>Tika īstenots pētījums “Risku identificēšanas sistēmas izstrād</w:t>
      </w:r>
      <w:r>
        <w:rPr>
          <w:sz w:val="22"/>
          <w:szCs w:val="22"/>
        </w:rPr>
        <w:t>e un ieviešana”, kura ietvaros izstrādāts risku identificēšanas rīka prototips, kā arī notika šī rīka prototipa iekšējā un ārējā aprobācija.</w:t>
      </w:r>
    </w:p>
    <w:p w14:paraId="371DFE56" w14:textId="77777777" w:rsidR="00087872" w:rsidRDefault="00256B13">
      <w:pPr>
        <w:contextualSpacing/>
      </w:pPr>
      <w:r>
        <w:rPr>
          <w:sz w:val="22"/>
          <w:szCs w:val="22"/>
        </w:rPr>
        <w:t>2) Zinātniskie pētījumi izglītībā.</w:t>
      </w:r>
    </w:p>
    <w:p w14:paraId="14B2F78C" w14:textId="77777777" w:rsidR="00087872" w:rsidRDefault="00256B13">
      <w:pPr>
        <w:contextualSpacing/>
      </w:pPr>
      <w:r>
        <w:rPr>
          <w:sz w:val="22"/>
          <w:szCs w:val="22"/>
        </w:rPr>
        <w:t xml:space="preserve">2022. gadā turpinājās pētījums “Izglītības terminu skaidrojošā </w:t>
      </w:r>
      <w:r>
        <w:rPr>
          <w:sz w:val="22"/>
          <w:szCs w:val="22"/>
        </w:rPr>
        <w:t xml:space="preserve">tiešsaistes vārdnīca". Tika izstrādāti vārdnīcas šķirkļi vairākās grupās: izglītības politika un vadība, izglītības </w:t>
      </w:r>
      <w:proofErr w:type="spellStart"/>
      <w:r>
        <w:rPr>
          <w:sz w:val="22"/>
          <w:szCs w:val="22"/>
        </w:rPr>
        <w:t>aktori</w:t>
      </w:r>
      <w:proofErr w:type="spellEnd"/>
      <w:r>
        <w:rPr>
          <w:sz w:val="22"/>
          <w:szCs w:val="22"/>
        </w:rPr>
        <w:t>, izglītības zinātnes, pedagoģija.</w:t>
      </w:r>
    </w:p>
    <w:p w14:paraId="30CF6238" w14:textId="77777777" w:rsidR="00087872" w:rsidRDefault="00256B13">
      <w:pPr>
        <w:contextualSpacing/>
      </w:pPr>
      <w:r>
        <w:rPr>
          <w:sz w:val="22"/>
          <w:szCs w:val="22"/>
        </w:rPr>
        <w:t>Pārskata periodā iepirkuma uzvarētājs SIA “SAFEGE Baltija” īstenoja pētījumu “Privāto izglītības ie</w:t>
      </w:r>
      <w:r>
        <w:rPr>
          <w:sz w:val="22"/>
          <w:szCs w:val="22"/>
        </w:rPr>
        <w:t>stāžu ieguldījums vispārējās izglītības nodrošināšanā”. Pētījumu paredzēts pabeigt 2023. gadā.</w:t>
      </w:r>
    </w:p>
    <w:p w14:paraId="1EF7C634" w14:textId="77777777" w:rsidR="00087872" w:rsidRDefault="00256B13">
      <w:pPr>
        <w:contextualSpacing/>
        <w:rPr>
          <w:sz w:val="22"/>
          <w:szCs w:val="22"/>
        </w:rPr>
      </w:pPr>
      <w:r>
        <w:rPr>
          <w:sz w:val="22"/>
          <w:szCs w:val="22"/>
        </w:rPr>
        <w:t>3) Darbsemināru cikls “Izglītības kvalitātes monitorings un vadība: mērķi, instrumenti, iesaistītie”. No 2022. gada aprīļa līdz jūnijam notika darbsemināru cikls</w:t>
      </w:r>
      <w:r>
        <w:rPr>
          <w:sz w:val="22"/>
          <w:szCs w:val="22"/>
        </w:rPr>
        <w:t>, kura rezultātā notika darbs pie vienota izglītības kvalitātes nodrošināšanas procesu un instrumentu kartējuma, kā arī mērķu un atbildības jomu sadalījuma noteikšanas izglītības kvalitātes monitoringa un vadības sistēmas ieviešanā. Darbsemināru ciklu vadī</w:t>
      </w:r>
      <w:r>
        <w:rPr>
          <w:sz w:val="22"/>
          <w:szCs w:val="22"/>
        </w:rPr>
        <w:t>ja projekta un OECD eksperti, iesaistot vispārējās, profesionālās un augstākās izglītības pārstāvjus no visas Latvijas. Darbsemināros tika pārrunātas tādas tēmas kā izglītības kvalitātes monitoringa sistēmas esošās situācijas novērtējums, izglītības kvalit</w:t>
      </w:r>
      <w:r>
        <w:rPr>
          <w:sz w:val="22"/>
          <w:szCs w:val="22"/>
        </w:rPr>
        <w:t>ātes monitoringa stratēģiskie mērķi, procesu savstarpējā saskaņotība, iesaistīto pušu atbildība un sadarbība, kā arī izglītības kvalitātes monitoringa un vadības stratēģiskā komunikācija un ieviešana.</w:t>
      </w:r>
    </w:p>
    <w:p w14:paraId="227B73C9" w14:textId="77777777" w:rsidR="00087872" w:rsidRDefault="00256B13">
      <w:pPr>
        <w:contextualSpacing/>
        <w:rPr>
          <w:sz w:val="22"/>
          <w:szCs w:val="22"/>
        </w:rPr>
      </w:pPr>
      <w:r>
        <w:rPr>
          <w:sz w:val="22"/>
          <w:szCs w:val="22"/>
        </w:rPr>
        <w:t xml:space="preserve">4) </w:t>
      </w:r>
      <w:proofErr w:type="spellStart"/>
      <w:r>
        <w:rPr>
          <w:sz w:val="22"/>
          <w:szCs w:val="22"/>
        </w:rPr>
        <w:t>Mērķsadarbības</w:t>
      </w:r>
      <w:proofErr w:type="spellEnd"/>
      <w:r>
        <w:rPr>
          <w:sz w:val="22"/>
          <w:szCs w:val="22"/>
        </w:rPr>
        <w:t xml:space="preserve"> pasākumi. </w:t>
      </w:r>
    </w:p>
    <w:p w14:paraId="7515B704" w14:textId="77777777" w:rsidR="00087872" w:rsidRDefault="00256B13">
      <w:pPr>
        <w:contextualSpacing/>
      </w:pPr>
      <w:r>
        <w:rPr>
          <w:sz w:val="22"/>
          <w:szCs w:val="22"/>
        </w:rPr>
        <w:t>2022. gada 8. septembrī sa</w:t>
      </w:r>
      <w:r>
        <w:rPr>
          <w:sz w:val="22"/>
          <w:szCs w:val="22"/>
        </w:rPr>
        <w:t xml:space="preserve">darbībā ar Eiropas Sociālā fonda projektu Nr. 8.3.6.2/17/I/001 „Izglītības kvalitātes monitoringa sistēmas izveide un īstenošana” notika kvalitātes dienesta, </w:t>
      </w:r>
      <w:proofErr w:type="spellStart"/>
      <w:r>
        <w:rPr>
          <w:sz w:val="22"/>
          <w:szCs w:val="22"/>
        </w:rPr>
        <w:t>Cēsu</w:t>
      </w:r>
      <w:proofErr w:type="spellEnd"/>
      <w:r>
        <w:rPr>
          <w:sz w:val="22"/>
          <w:szCs w:val="22"/>
        </w:rPr>
        <w:t xml:space="preserve"> novada domes un a/s “Swedbank” rīkota konference “Izglītības kvalitātes monitorings iekļaujoš</w:t>
      </w:r>
      <w:r>
        <w:rPr>
          <w:sz w:val="22"/>
          <w:szCs w:val="22"/>
        </w:rPr>
        <w:t xml:space="preserve">ai izglītībai”. Konference vienlaikus norisinājās klātienē Cēsīs un bija vērojama arī tiešraidē IZM </w:t>
      </w:r>
      <w:proofErr w:type="spellStart"/>
      <w:r>
        <w:rPr>
          <w:sz w:val="22"/>
          <w:szCs w:val="22"/>
        </w:rPr>
        <w:t>Facebook</w:t>
      </w:r>
      <w:proofErr w:type="spellEnd"/>
      <w:r>
        <w:rPr>
          <w:sz w:val="22"/>
          <w:szCs w:val="22"/>
        </w:rPr>
        <w:t xml:space="preserve"> vietnē. Konferences mērķis bija veicināt iekļaujošas izglītības sistēmas izveidi Latvijā, veidojot par to vienotu izpratni un attīstot mērķtiecīgu </w:t>
      </w:r>
      <w:r>
        <w:rPr>
          <w:sz w:val="22"/>
          <w:szCs w:val="22"/>
        </w:rPr>
        <w:t>un sistēmisku izglītības kvalitātes monitoringu izglītības kvalitātes nodrošināšanai. Konferencē pārrunās esošo un plānoto izglītības politiku iekļaujošas izglītības jautājumos, aktuālos pētījumus, labas prakses piemērus un citus pieejamajos resursus iekļa</w:t>
      </w:r>
      <w:r>
        <w:rPr>
          <w:sz w:val="22"/>
          <w:szCs w:val="22"/>
        </w:rPr>
        <w:t>ujošas izglītības veidošanai Latvijā un pasaulē.</w:t>
      </w:r>
      <w:r>
        <w:rPr>
          <w:rStyle w:val="FootnoteAnchor"/>
          <w:sz w:val="22"/>
          <w:szCs w:val="22"/>
        </w:rPr>
        <w:footnoteReference w:id="5"/>
      </w:r>
    </w:p>
    <w:p w14:paraId="5D1AFBDA" w14:textId="77777777" w:rsidR="00087872" w:rsidRDefault="00087872">
      <w:pPr>
        <w:contextualSpacing/>
        <w:rPr>
          <w:sz w:val="22"/>
          <w:szCs w:val="22"/>
        </w:rPr>
      </w:pPr>
    </w:p>
    <w:p w14:paraId="6F3CCD82" w14:textId="77777777" w:rsidR="00087872" w:rsidRDefault="00256B13">
      <w:pPr>
        <w:pStyle w:val="Virsraksts31"/>
      </w:pPr>
      <w:bookmarkStart w:id="65" w:name="_Toc139120235"/>
      <w:r>
        <w:t>2.3.3. ESF projekta Nr.7.1.1.0/15/I/001 “Atbalsts bezdarbnieku izglītībai” īstenošana</w:t>
      </w:r>
      <w:bookmarkEnd w:id="65"/>
    </w:p>
    <w:p w14:paraId="0AA4E2F9" w14:textId="77777777" w:rsidR="00087872" w:rsidRDefault="00256B13">
      <w:r>
        <w:rPr>
          <w:sz w:val="22"/>
          <w:szCs w:val="22"/>
        </w:rPr>
        <w:t>2022. gadā kvalitātes dienests turpināja sadarbību ar Nodarbinātības valsts aģentūru (NVA) darbības programmas “Izaugs</w:t>
      </w:r>
      <w:r>
        <w:rPr>
          <w:sz w:val="22"/>
          <w:szCs w:val="22"/>
        </w:rPr>
        <w:t>me un nodarbinātība” 7.1.1. specifiskā atbalsta mērķa “Paaugstināt bezdarbnieku kvalifikāciju un prasmes atbilstoši darba tirgus pieprasījumam” ESF projekta “Atbalsts bezdarbnieku izglītībai” Nr.7.1.1.0/15/I/001 īstenošanā (</w:t>
      </w:r>
      <w:bookmarkStart w:id="66" w:name="_Hlk139297517"/>
      <w:r>
        <w:rPr>
          <w:sz w:val="22"/>
          <w:szCs w:val="22"/>
        </w:rPr>
        <w:t>ESF projekts Nr.7.1.1.</w:t>
      </w:r>
      <w:bookmarkEnd w:id="66"/>
      <w:r>
        <w:rPr>
          <w:sz w:val="22"/>
          <w:szCs w:val="22"/>
        </w:rPr>
        <w:t>). Projekt</w:t>
      </w:r>
      <w:r>
        <w:rPr>
          <w:sz w:val="22"/>
          <w:szCs w:val="22"/>
        </w:rPr>
        <w:t>a mērķis ir veicināt bezdarbnieku un darba meklētāju un bezdarba riskam pakļauto personu konkurētspēju darba tirgū, kā arī mazināt Covid-19 pandēmijas izraisītās krīzes sekas nodarbinātības jomā.</w:t>
      </w:r>
      <w:r>
        <w:rPr>
          <w:rStyle w:val="FootnoteAnchor"/>
          <w:sz w:val="22"/>
          <w:szCs w:val="22"/>
        </w:rPr>
        <w:footnoteReference w:id="6"/>
      </w:r>
    </w:p>
    <w:p w14:paraId="72A42FEA" w14:textId="77777777" w:rsidR="00087872" w:rsidRDefault="00256B13">
      <w:r>
        <w:rPr>
          <w:sz w:val="22"/>
          <w:szCs w:val="22"/>
        </w:rPr>
        <w:t>Sadarbības ietvaros kvalitātes dienests īsteno projektā ie</w:t>
      </w:r>
      <w:r>
        <w:rPr>
          <w:sz w:val="22"/>
          <w:szCs w:val="22"/>
        </w:rPr>
        <w:t>saistīto izglītības iestāžu izglītojošā procesa, t.sk. eksāmenu, mācību prakšu īstenošanas kvalitātes kontroli, programmu ekspertīzi, programmu akreditācijas termiņu un programmu īstenošanas vietu adrešu regulāru kontroli, metodisko atbalstu izglītības ies</w:t>
      </w:r>
      <w:r>
        <w:rPr>
          <w:sz w:val="22"/>
          <w:szCs w:val="22"/>
        </w:rPr>
        <w:t>tādēm. Kontroles ietvaros projektā iesaistītie kvalitātes dienesta darbinieki īsteno pārbaudes attiecībā uz mācību nodarbībām šādos izglītības programmu veidos: profesionālā tālākizglītība, profesionālā pilnveide, neformālās izglītības programmas, profesio</w:t>
      </w:r>
      <w:r>
        <w:rPr>
          <w:sz w:val="22"/>
          <w:szCs w:val="22"/>
        </w:rPr>
        <w:t>nālās tālākizglītības moduļu un moduļu kopas, augstākās izglītības moduļu un moduļu kopas, atbilstoši izstrādātajiem kritērijiem. Pārbaudes tiek veiktas arī attiecībā uz profesionālās kvalifikācijas eksāmenu norisi un mācību prakses norisi. Kontroli un pār</w:t>
      </w:r>
      <w:r>
        <w:rPr>
          <w:sz w:val="22"/>
          <w:szCs w:val="22"/>
        </w:rPr>
        <w:t>baudes izglītības iestādē veic bez iepriekšēja brīdinājuma.</w:t>
      </w:r>
    </w:p>
    <w:p w14:paraId="1FCF0C76" w14:textId="77777777" w:rsidR="00087872" w:rsidRDefault="00256B13">
      <w:pPr>
        <w:spacing w:after="0"/>
        <w:contextualSpacing/>
      </w:pPr>
      <w:r>
        <w:rPr>
          <w:sz w:val="22"/>
          <w:szCs w:val="22"/>
        </w:rPr>
        <w:t xml:space="preserve">2022. gadā kvalitātes dienesta īstenotie pasākumi projekta ietvaros: </w:t>
      </w:r>
    </w:p>
    <w:p w14:paraId="651DC66F" w14:textId="77777777" w:rsidR="00087872" w:rsidRDefault="00256B13">
      <w:pPr>
        <w:pStyle w:val="Sarakstarindkopa"/>
        <w:numPr>
          <w:ilvl w:val="0"/>
          <w:numId w:val="8"/>
        </w:numPr>
        <w:ind w:left="0" w:firstLine="0"/>
      </w:pPr>
      <w:r>
        <w:rPr>
          <w:rFonts w:ascii="Times New Roman" w:hAnsi="Times New Roman"/>
        </w:rPr>
        <w:t>veiktas 140 izglītības programmu ekspertīzes;</w:t>
      </w:r>
    </w:p>
    <w:p w14:paraId="425279AC" w14:textId="77777777" w:rsidR="00087872" w:rsidRDefault="00256B13">
      <w:pPr>
        <w:pStyle w:val="Sarakstarindkopa"/>
        <w:numPr>
          <w:ilvl w:val="0"/>
          <w:numId w:val="8"/>
        </w:numPr>
        <w:ind w:left="0" w:firstLine="0"/>
      </w:pPr>
      <w:r>
        <w:rPr>
          <w:rFonts w:ascii="Times New Roman" w:hAnsi="Times New Roman"/>
        </w:rPr>
        <w:t>īstenota akreditācijas termiņu un mācību īstenošanas vietu adrešu aktualitātes k</w:t>
      </w:r>
      <w:r>
        <w:rPr>
          <w:rFonts w:ascii="Times New Roman" w:hAnsi="Times New Roman"/>
        </w:rPr>
        <w:t>ontrole 7037 izglītības programmām;</w:t>
      </w:r>
    </w:p>
    <w:p w14:paraId="7112A428" w14:textId="77777777" w:rsidR="00087872" w:rsidRDefault="00256B13">
      <w:pPr>
        <w:pStyle w:val="Sarakstarindkopa"/>
        <w:numPr>
          <w:ilvl w:val="0"/>
          <w:numId w:val="8"/>
        </w:numPr>
        <w:ind w:left="0" w:firstLine="0"/>
      </w:pPr>
      <w:r>
        <w:rPr>
          <w:rFonts w:ascii="Times New Roman" w:hAnsi="Times New Roman"/>
        </w:rPr>
        <w:t xml:space="preserve">veiktas pārbaudes 42 izglītības iestādēs un sastādīti 131 pārbaudes akts, t.sk. 54 pārbaudes akti pēc izglītības programmas, </w:t>
      </w:r>
      <w:r>
        <w:rPr>
          <w:rFonts w:ascii="Times New Roman" w:hAnsi="Times New Roman"/>
        </w:rPr>
        <w:t>tostarp</w:t>
      </w:r>
      <w:r>
        <w:rPr>
          <w:rFonts w:ascii="Times New Roman" w:hAnsi="Times New Roman"/>
        </w:rPr>
        <w:t xml:space="preserve"> izglītības programmas, kas tiek īstenota attālināti tiešsaistes platformā, īstenošanas </w:t>
      </w:r>
      <w:r>
        <w:rPr>
          <w:rFonts w:ascii="Times New Roman" w:hAnsi="Times New Roman"/>
        </w:rPr>
        <w:t xml:space="preserve">uzraudzības, 48 pārbaudes akti pēc kvalifikācijas prakses īstenošanas pārbaudes, 29 pārbaudes akti pēc profesionālās kvalifikācijas eksāmena pārbaudes. </w:t>
      </w:r>
    </w:p>
    <w:p w14:paraId="73308937" w14:textId="77777777" w:rsidR="00087872" w:rsidRDefault="00256B13">
      <w:r>
        <w:t>86% gadījumu programmu ekspertīzēs neatbilstības nav konstatētas, 14% – konstatētas neatbilstības, tost</w:t>
      </w:r>
      <w:r>
        <w:t>arp izglītības programmai neatbilstošas kvalifikācijas vai kvalifikācijas līmenis.</w:t>
      </w:r>
    </w:p>
    <w:p w14:paraId="280CF865" w14:textId="77777777" w:rsidR="00087872" w:rsidRDefault="00256B13">
      <w:pPr>
        <w:pStyle w:val="Sarakstarindkopa"/>
        <w:ind w:left="0"/>
        <w:contextualSpacing w:val="0"/>
      </w:pPr>
      <w:r>
        <w:rPr>
          <w:rFonts w:ascii="Times New Roman" w:hAnsi="Times New Roman"/>
        </w:rPr>
        <w:t xml:space="preserve">57 % gadījumos no kopējā pārbaužu skaita pārkāpumi nav konstatēti, bet 43 % gadījumos konstatēti pārkāpumi, tostarp neatbilstība starp profesionālās kvalifikācijas eksāmena </w:t>
      </w:r>
      <w:r>
        <w:rPr>
          <w:rFonts w:ascii="Times New Roman" w:hAnsi="Times New Roman"/>
        </w:rPr>
        <w:t>programmas praktiskajā daļā norādīto nepieciešamo materiālu un tehniskiem līdzekļiem un reāli uz vietas eksāmenā esošo, eksāmena komisijas sastāva neatbilstība, nepiemērotas telpas eksāmena organizēšanai, izglītojamie neapmeklē prakses vietas, pedagogu izg</w:t>
      </w:r>
      <w:r>
        <w:rPr>
          <w:rFonts w:ascii="Times New Roman" w:hAnsi="Times New Roman"/>
        </w:rPr>
        <w:t>lītības un profesionālā kvalifikācijas neatbilstība, faktiskais nodarbības saturs neatbilst apstiprinātajam mācību plānam u.c.</w:t>
      </w:r>
    </w:p>
    <w:p w14:paraId="14A20672" w14:textId="77777777" w:rsidR="00087872" w:rsidRDefault="00256B13">
      <w:pPr>
        <w:contextualSpacing/>
      </w:pPr>
      <w:r>
        <w:rPr>
          <w:sz w:val="22"/>
          <w:szCs w:val="22"/>
        </w:rPr>
        <w:t>Analizējot pārskata gadā īstenoto uzraudzību, kvalitātes dienesta eksperti izdarījuši šādus secinājumus:</w:t>
      </w:r>
    </w:p>
    <w:p w14:paraId="26DE0F65" w14:textId="77777777" w:rsidR="00087872" w:rsidRDefault="00256B13">
      <w:pPr>
        <w:contextualSpacing/>
      </w:pPr>
      <w:r>
        <w:rPr>
          <w:sz w:val="22"/>
          <w:szCs w:val="22"/>
        </w:rPr>
        <w:t>1. Izglītības programmu,</w:t>
      </w:r>
      <w:r>
        <w:rPr>
          <w:sz w:val="22"/>
          <w:szCs w:val="22"/>
        </w:rPr>
        <w:t xml:space="preserve"> kvalifikācijas eksāmenu un kvalifikācijas prakses īstenošanas pārbaudēs konstatētie pārkāpumi, salīdzinot ar 2021. gadu, ir samazinājušies no 77% uz 43%;</w:t>
      </w:r>
    </w:p>
    <w:p w14:paraId="30015036" w14:textId="77777777" w:rsidR="00087872" w:rsidRDefault="00256B13">
      <w:pPr>
        <w:contextualSpacing/>
      </w:pPr>
      <w:r>
        <w:rPr>
          <w:sz w:val="22"/>
          <w:szCs w:val="22"/>
        </w:rPr>
        <w:t>2. Izglītības programmu ekspertīzēs konstatētās neatbilstības ir samazinājušās par 6%;</w:t>
      </w:r>
    </w:p>
    <w:p w14:paraId="3D6EFC23" w14:textId="77777777" w:rsidR="00087872" w:rsidRDefault="00256B13">
      <w:pPr>
        <w:contextualSpacing/>
      </w:pPr>
      <w:r>
        <w:rPr>
          <w:sz w:val="22"/>
          <w:szCs w:val="22"/>
        </w:rPr>
        <w:t>3. Joprojām ne</w:t>
      </w:r>
      <w:r>
        <w:rPr>
          <w:sz w:val="22"/>
          <w:szCs w:val="22"/>
        </w:rPr>
        <w:t>pieciešams regulāri kontrolēt klātienē tās mācību īstenošanas vietas, kuras atrodas attālāk no Rīgas;</w:t>
      </w:r>
    </w:p>
    <w:p w14:paraId="65CBA05B" w14:textId="77777777" w:rsidR="00087872" w:rsidRDefault="00256B13">
      <w:pPr>
        <w:contextualSpacing/>
      </w:pPr>
      <w:r>
        <w:rPr>
          <w:sz w:val="22"/>
          <w:szCs w:val="22"/>
        </w:rPr>
        <w:t xml:space="preserve">4. Lai gan izglītības programmas ir akreditētas, nepieciešama kontrole, jo mainās pedagogi, izglītības iestāžu vadītāji un normatīvie akti; </w:t>
      </w:r>
    </w:p>
    <w:p w14:paraId="4FD3B480" w14:textId="77777777" w:rsidR="00087872" w:rsidRDefault="00256B13">
      <w:pPr>
        <w:contextualSpacing/>
      </w:pPr>
      <w:r>
        <w:rPr>
          <w:sz w:val="22"/>
          <w:szCs w:val="22"/>
        </w:rPr>
        <w:t>5. Izglītojamo aptaujas rezultāti identificē problēmas praktiskajās nodarbībās, kā arī saistībā ar pedagogu profesi</w:t>
      </w:r>
      <w:r>
        <w:rPr>
          <w:sz w:val="22"/>
          <w:szCs w:val="22"/>
        </w:rPr>
        <w:t>onalitāti, prasmi iemācīt. Pieaug izglītojamo prasības pret izglītības iestādi, tās materiālo bāzi, mācību metodēm un pedagogiem;</w:t>
      </w:r>
    </w:p>
    <w:p w14:paraId="07C06C7E" w14:textId="77777777" w:rsidR="00087872" w:rsidRDefault="00256B13">
      <w:pPr>
        <w:contextualSpacing/>
      </w:pPr>
      <w:r>
        <w:rPr>
          <w:sz w:val="22"/>
          <w:szCs w:val="22"/>
        </w:rPr>
        <w:t>6. Izglītības iestādēm, kurām ir vairākas mācību īstenošanas vietas / adreses, nepieciešams izstrādāt iestādes iekšējās kontro</w:t>
      </w:r>
      <w:r>
        <w:rPr>
          <w:sz w:val="22"/>
          <w:szCs w:val="22"/>
        </w:rPr>
        <w:t xml:space="preserve">les sistēmu, t.sk. konkrētu mācību īstenošanas vietu apmeklējuma grafiku, ar mērķi kontrolēt izglītības kvalitāti. </w:t>
      </w:r>
    </w:p>
    <w:p w14:paraId="7C0ED704" w14:textId="77777777" w:rsidR="00087872" w:rsidRDefault="00087872">
      <w:pPr>
        <w:contextualSpacing/>
        <w:rPr>
          <w:sz w:val="22"/>
          <w:szCs w:val="22"/>
        </w:rPr>
      </w:pPr>
    </w:p>
    <w:p w14:paraId="605BABF6" w14:textId="72B5B028" w:rsidR="00087872" w:rsidRDefault="00256B13" w:rsidP="00F5276E">
      <w:pPr>
        <w:pStyle w:val="Virsraksts31"/>
      </w:pPr>
      <w:bookmarkStart w:id="67" w:name="_Hlk141112656"/>
      <w:r>
        <w:t>2.3.4</w:t>
      </w:r>
      <w:r>
        <w:t xml:space="preserve">. EQAVET – Eiropas kvalitātes nodrošināšanas </w:t>
      </w:r>
      <w:proofErr w:type="spellStart"/>
      <w:r>
        <w:t>ietvarstruktūras</w:t>
      </w:r>
      <w:proofErr w:type="spellEnd"/>
      <w:r>
        <w:t xml:space="preserve"> profesionālajā izglītībā un profesionālajā tālākizglītībā ieviešanas koo</w:t>
      </w:r>
      <w:r>
        <w:t>rdinēšana</w:t>
      </w:r>
    </w:p>
    <w:bookmarkEnd w:id="67"/>
    <w:p w14:paraId="37E0F1C8" w14:textId="77777777" w:rsidR="00087872" w:rsidRDefault="00256B13">
      <w:r>
        <w:rPr>
          <w:rFonts w:eastAsia="Times New Roman"/>
          <w:sz w:val="22"/>
          <w:szCs w:val="22"/>
        </w:rPr>
        <w:t xml:space="preserve">Kopš 2013. gada kvalitātes dienests darbojas kā EQAVET koordinācijas punkts Latvijā ar mērķi uzlabot profesionālās izglītības kvalitāti un nodrošināt tās atbilstību EQAVET </w:t>
      </w:r>
      <w:proofErr w:type="spellStart"/>
      <w:r>
        <w:rPr>
          <w:rFonts w:eastAsia="Times New Roman"/>
          <w:sz w:val="22"/>
          <w:szCs w:val="22"/>
        </w:rPr>
        <w:t>ietvarstruktūrai</w:t>
      </w:r>
      <w:proofErr w:type="spellEnd"/>
      <w:r>
        <w:rPr>
          <w:rFonts w:eastAsia="Times New Roman"/>
          <w:sz w:val="22"/>
          <w:szCs w:val="22"/>
        </w:rPr>
        <w:t xml:space="preserve"> un darba tirgus prasībām, iesaistot visas ieinteresētās p</w:t>
      </w:r>
      <w:r>
        <w:rPr>
          <w:rFonts w:eastAsia="Times New Roman"/>
          <w:sz w:val="22"/>
          <w:szCs w:val="22"/>
        </w:rPr>
        <w:t xml:space="preserve">uses kvalitātes nodrošināšanas procesā, kā arī balstot kvalitātes novērtējumu pārliecinošos pierādījumos un EQAVET indikatoru rādītājos. </w:t>
      </w:r>
    </w:p>
    <w:p w14:paraId="4BA85155" w14:textId="77777777" w:rsidR="00087872" w:rsidRDefault="00256B13">
      <w:r>
        <w:rPr>
          <w:rFonts w:eastAsia="Times New Roman"/>
          <w:sz w:val="22"/>
          <w:szCs w:val="22"/>
        </w:rPr>
        <w:t xml:space="preserve">2022. gadā kvalitātes dienests turpināja īstenot Eiropas Komisijas Izglītības, audiovizuālās jomas un kultūras </w:t>
      </w:r>
      <w:proofErr w:type="spellStart"/>
      <w:r>
        <w:rPr>
          <w:rFonts w:eastAsia="Times New Roman"/>
          <w:sz w:val="22"/>
          <w:szCs w:val="22"/>
        </w:rPr>
        <w:t>izpilda</w:t>
      </w:r>
      <w:r>
        <w:rPr>
          <w:rFonts w:eastAsia="Times New Roman"/>
          <w:sz w:val="22"/>
          <w:szCs w:val="22"/>
        </w:rPr>
        <w:t>ģentūras</w:t>
      </w:r>
      <w:proofErr w:type="spellEnd"/>
      <w:r>
        <w:rPr>
          <w:rFonts w:eastAsia="Times New Roman"/>
          <w:sz w:val="22"/>
          <w:szCs w:val="22"/>
        </w:rPr>
        <w:t xml:space="preserve"> (turpmāk – EACEA) </w:t>
      </w:r>
      <w:proofErr w:type="spellStart"/>
      <w:r>
        <w:rPr>
          <w:rFonts w:eastAsia="Times New Roman"/>
          <w:sz w:val="22"/>
          <w:szCs w:val="22"/>
        </w:rPr>
        <w:t>Erasmus</w:t>
      </w:r>
      <w:proofErr w:type="spellEnd"/>
      <w:r>
        <w:rPr>
          <w:rFonts w:eastAsia="Times New Roman"/>
          <w:sz w:val="22"/>
          <w:szCs w:val="22"/>
        </w:rPr>
        <w:t xml:space="preserve">+ programmas </w:t>
      </w:r>
      <w:r>
        <w:rPr>
          <w:rFonts w:eastAsia="Times New Roman"/>
          <w:i/>
          <w:iCs/>
          <w:sz w:val="22"/>
          <w:szCs w:val="22"/>
        </w:rPr>
        <w:t xml:space="preserve">EQAVET – </w:t>
      </w:r>
      <w:proofErr w:type="spellStart"/>
      <w:r>
        <w:rPr>
          <w:rFonts w:eastAsia="Times New Roman"/>
          <w:i/>
          <w:iCs/>
          <w:sz w:val="22"/>
          <w:szCs w:val="22"/>
        </w:rPr>
        <w:t>European</w:t>
      </w:r>
      <w:proofErr w:type="spellEnd"/>
      <w:r>
        <w:rPr>
          <w:rFonts w:eastAsia="Times New Roman"/>
          <w:i/>
          <w:iCs/>
          <w:sz w:val="22"/>
          <w:szCs w:val="22"/>
        </w:rPr>
        <w:t xml:space="preserve"> </w:t>
      </w:r>
      <w:proofErr w:type="spellStart"/>
      <w:r>
        <w:rPr>
          <w:rFonts w:eastAsia="Times New Roman"/>
          <w:i/>
          <w:iCs/>
          <w:sz w:val="22"/>
          <w:szCs w:val="22"/>
        </w:rPr>
        <w:t>Quality</w:t>
      </w:r>
      <w:proofErr w:type="spellEnd"/>
      <w:r>
        <w:rPr>
          <w:rFonts w:eastAsia="Times New Roman"/>
          <w:i/>
          <w:iCs/>
          <w:sz w:val="22"/>
          <w:szCs w:val="22"/>
        </w:rPr>
        <w:t xml:space="preserve"> </w:t>
      </w:r>
      <w:proofErr w:type="spellStart"/>
      <w:r>
        <w:rPr>
          <w:rFonts w:eastAsia="Times New Roman"/>
          <w:i/>
          <w:iCs/>
          <w:sz w:val="22"/>
          <w:szCs w:val="22"/>
        </w:rPr>
        <w:t>Assurance</w:t>
      </w:r>
      <w:proofErr w:type="spellEnd"/>
      <w:r>
        <w:rPr>
          <w:rFonts w:eastAsia="Times New Roman"/>
          <w:i/>
          <w:iCs/>
          <w:sz w:val="22"/>
          <w:szCs w:val="22"/>
        </w:rPr>
        <w:t xml:space="preserve"> </w:t>
      </w:r>
      <w:proofErr w:type="spellStart"/>
      <w:r>
        <w:rPr>
          <w:rFonts w:eastAsia="Times New Roman"/>
          <w:i/>
          <w:iCs/>
          <w:sz w:val="22"/>
          <w:szCs w:val="22"/>
        </w:rPr>
        <w:t>in</w:t>
      </w:r>
      <w:proofErr w:type="spellEnd"/>
      <w:r>
        <w:rPr>
          <w:rFonts w:eastAsia="Times New Roman"/>
          <w:i/>
          <w:iCs/>
          <w:sz w:val="22"/>
          <w:szCs w:val="22"/>
        </w:rPr>
        <w:t xml:space="preserve"> </w:t>
      </w:r>
      <w:proofErr w:type="spellStart"/>
      <w:r>
        <w:rPr>
          <w:rFonts w:eastAsia="Times New Roman"/>
          <w:i/>
          <w:iCs/>
          <w:sz w:val="22"/>
          <w:szCs w:val="22"/>
        </w:rPr>
        <w:t>Vocational</w:t>
      </w:r>
      <w:proofErr w:type="spellEnd"/>
      <w:r>
        <w:rPr>
          <w:rFonts w:eastAsia="Times New Roman"/>
          <w:i/>
          <w:iCs/>
          <w:sz w:val="22"/>
          <w:szCs w:val="22"/>
        </w:rPr>
        <w:t xml:space="preserve"> </w:t>
      </w:r>
      <w:proofErr w:type="spellStart"/>
      <w:r>
        <w:rPr>
          <w:rFonts w:eastAsia="Times New Roman"/>
          <w:i/>
          <w:iCs/>
          <w:sz w:val="22"/>
          <w:szCs w:val="22"/>
        </w:rPr>
        <w:t>Education</w:t>
      </w:r>
      <w:proofErr w:type="spellEnd"/>
      <w:r>
        <w:rPr>
          <w:rFonts w:eastAsia="Times New Roman"/>
          <w:i/>
          <w:iCs/>
          <w:sz w:val="22"/>
          <w:szCs w:val="22"/>
        </w:rPr>
        <w:t xml:space="preserve"> </w:t>
      </w:r>
      <w:proofErr w:type="spellStart"/>
      <w:r>
        <w:rPr>
          <w:rFonts w:eastAsia="Times New Roman"/>
          <w:i/>
          <w:iCs/>
          <w:sz w:val="22"/>
          <w:szCs w:val="22"/>
        </w:rPr>
        <w:t>and</w:t>
      </w:r>
      <w:proofErr w:type="spellEnd"/>
      <w:r>
        <w:rPr>
          <w:rFonts w:eastAsia="Times New Roman"/>
          <w:i/>
          <w:iCs/>
          <w:sz w:val="22"/>
          <w:szCs w:val="22"/>
        </w:rPr>
        <w:t xml:space="preserve"> </w:t>
      </w:r>
      <w:proofErr w:type="spellStart"/>
      <w:r>
        <w:rPr>
          <w:rFonts w:eastAsia="Times New Roman"/>
          <w:i/>
          <w:iCs/>
          <w:sz w:val="22"/>
          <w:szCs w:val="22"/>
        </w:rPr>
        <w:t>Training</w:t>
      </w:r>
      <w:proofErr w:type="spellEnd"/>
      <w:r>
        <w:rPr>
          <w:rFonts w:eastAsia="Times New Roman"/>
          <w:i/>
          <w:iCs/>
          <w:sz w:val="22"/>
          <w:szCs w:val="22"/>
        </w:rPr>
        <w:t xml:space="preserve"> National Reference </w:t>
      </w:r>
      <w:proofErr w:type="spellStart"/>
      <w:r>
        <w:rPr>
          <w:rFonts w:eastAsia="Times New Roman"/>
          <w:i/>
          <w:iCs/>
          <w:sz w:val="22"/>
          <w:szCs w:val="22"/>
        </w:rPr>
        <w:t>Points</w:t>
      </w:r>
      <w:proofErr w:type="spellEnd"/>
      <w:r>
        <w:rPr>
          <w:rFonts w:eastAsia="Times New Roman"/>
          <w:sz w:val="22"/>
          <w:szCs w:val="22"/>
        </w:rPr>
        <w:t xml:space="preserve"> finansēto projektu Nr.101048484 – HAPI, kura prioritātes ir izstrādāt rokasgrāmatu izglītības iestādēm ar vadl</w:t>
      </w:r>
      <w:r>
        <w:rPr>
          <w:rFonts w:eastAsia="Times New Roman"/>
          <w:sz w:val="22"/>
          <w:szCs w:val="22"/>
        </w:rPr>
        <w:t xml:space="preserve">īnijām kvalitātes sistēmas izveidei un attīstībai, atbalsta sniegšanai jēgpilna </w:t>
      </w:r>
      <w:proofErr w:type="spellStart"/>
      <w:r>
        <w:rPr>
          <w:rFonts w:eastAsia="Times New Roman"/>
          <w:sz w:val="22"/>
          <w:szCs w:val="22"/>
        </w:rPr>
        <w:t>pašvērtēšanas</w:t>
      </w:r>
      <w:proofErr w:type="spellEnd"/>
      <w:r>
        <w:rPr>
          <w:rFonts w:eastAsia="Times New Roman"/>
          <w:sz w:val="22"/>
          <w:szCs w:val="22"/>
        </w:rPr>
        <w:t xml:space="preserve"> procesa nodrošināšanai un EQAVET indikatoru analīzei, kas pamatots ar Izglītības likumā noteikto, ka izglītības iestādes vadītājs veido un attīsta izglītības iest</w:t>
      </w:r>
      <w:r>
        <w:rPr>
          <w:rFonts w:eastAsia="Times New Roman"/>
          <w:sz w:val="22"/>
          <w:szCs w:val="22"/>
        </w:rPr>
        <w:t xml:space="preserve">ādes kvalitātes sistēmu un nodrošina ikgadēju izglītības iestādes </w:t>
      </w:r>
      <w:proofErr w:type="spellStart"/>
      <w:r>
        <w:rPr>
          <w:rFonts w:eastAsia="Times New Roman"/>
          <w:sz w:val="22"/>
          <w:szCs w:val="22"/>
        </w:rPr>
        <w:t>pašvērtēšanu</w:t>
      </w:r>
      <w:proofErr w:type="spellEnd"/>
      <w:r>
        <w:rPr>
          <w:rFonts w:eastAsia="Times New Roman"/>
          <w:sz w:val="22"/>
          <w:szCs w:val="22"/>
        </w:rPr>
        <w:t>.</w:t>
      </w:r>
    </w:p>
    <w:p w14:paraId="13451541" w14:textId="77777777" w:rsidR="00087872" w:rsidRDefault="00256B13">
      <w:r>
        <w:rPr>
          <w:rFonts w:eastAsia="Times New Roman"/>
          <w:sz w:val="22"/>
          <w:szCs w:val="22"/>
        </w:rPr>
        <w:t>Paralēli rokasgrāmatas satura izstrādei 2022. gada septembrī kvalitātes dienests īstenoja arī vienu no būtiskākajiem projekta uzdevumiem – organizēt savstarpējās vērtēšanas (</w:t>
      </w:r>
      <w:proofErr w:type="spellStart"/>
      <w:r>
        <w:rPr>
          <w:rFonts w:eastAsia="Times New Roman"/>
          <w:i/>
          <w:iCs/>
          <w:sz w:val="22"/>
          <w:szCs w:val="22"/>
        </w:rPr>
        <w:t>Pe</w:t>
      </w:r>
      <w:r>
        <w:rPr>
          <w:rFonts w:eastAsia="Times New Roman"/>
          <w:i/>
          <w:iCs/>
          <w:sz w:val="22"/>
          <w:szCs w:val="22"/>
        </w:rPr>
        <w:t>er-Review</w:t>
      </w:r>
      <w:proofErr w:type="spellEnd"/>
      <w:r>
        <w:rPr>
          <w:rFonts w:eastAsia="Times New Roman"/>
          <w:sz w:val="22"/>
          <w:szCs w:val="22"/>
        </w:rPr>
        <w:t>) aktivitāti ar ārvalstu ekspertu piedalīšanos. Aktivitāte bija veltīta profesionālās izglītības iestāžu kvalitātes sistēmas izveidei un attīstībai. Pasākums tika rīkots sadarbībā ar EQAVET sekretariātu, piedaloties ekspertiem no Beļģijas, Bulgāri</w:t>
      </w:r>
      <w:r>
        <w:rPr>
          <w:rFonts w:eastAsia="Times New Roman"/>
          <w:sz w:val="22"/>
          <w:szCs w:val="22"/>
        </w:rPr>
        <w:t>jas, Lietuvas un Luksemburgas. Pasākuma ietvaros eksperti dalījās ar pieredzi, kā sekmīgāk izveidot kvalitātes sistēmu profesionālās izglītības iestādē, tostarp izmantojot EQAVET indikatorus, diskutēja par galvenajiem pamatprincipiem, kuri būtu izmantojami</w:t>
      </w:r>
      <w:r>
        <w:rPr>
          <w:rFonts w:eastAsia="Times New Roman"/>
          <w:sz w:val="22"/>
          <w:szCs w:val="22"/>
        </w:rPr>
        <w:t xml:space="preserve"> institucionālajā akreditācijā profesionālajā izglītībā, kas tiks uzsākta 2024. gadā, kā arī dalījās ar labās prakses piemēriem par EQAVET indikatoru izmantošanu profesionālajā izglītībā. Pasākuma rezultātā sniegtie ieteikumi tika izvērtēti un ņemti vērā r</w:t>
      </w:r>
      <w:r>
        <w:rPr>
          <w:rFonts w:eastAsia="Times New Roman"/>
          <w:sz w:val="22"/>
          <w:szCs w:val="22"/>
        </w:rPr>
        <w:t xml:space="preserve">okasgrāmatas satura un kvalitātes dienesta Vadlīniju izglītības kvalitātes nodrošināšanai pilnveidošanai. </w:t>
      </w:r>
    </w:p>
    <w:p w14:paraId="5C4D1D40" w14:textId="77777777" w:rsidR="00087872" w:rsidRDefault="00087872">
      <w:pPr>
        <w:rPr>
          <w:sz w:val="22"/>
          <w:szCs w:val="22"/>
        </w:rPr>
      </w:pPr>
    </w:p>
    <w:p w14:paraId="15681AC3" w14:textId="77777777" w:rsidR="00087872" w:rsidRDefault="00256B13">
      <w:pPr>
        <w:pStyle w:val="Virsraksts21"/>
      </w:pPr>
      <w:bookmarkStart w:id="68" w:name="_Toc456012553"/>
      <w:bookmarkStart w:id="69" w:name="_Toc456012653"/>
      <w:bookmarkStart w:id="70" w:name="_Toc139120236"/>
      <w:r>
        <w:t>2.4. Publiskie pakalpojumi</w:t>
      </w:r>
      <w:bookmarkEnd w:id="68"/>
      <w:bookmarkEnd w:id="69"/>
      <w:bookmarkEnd w:id="70"/>
    </w:p>
    <w:p w14:paraId="55D75DA4" w14:textId="77777777" w:rsidR="00087872" w:rsidRDefault="00256B13">
      <w:r>
        <w:rPr>
          <w:rFonts w:eastAsia="Times New Roman"/>
          <w:bCs/>
          <w:sz w:val="22"/>
          <w:szCs w:val="22"/>
        </w:rPr>
        <w:t xml:space="preserve">Kvalitātes dienests publiskā un privātā sektora pārstāvjiem nodrošina virkni </w:t>
      </w:r>
      <w:r>
        <w:rPr>
          <w:rFonts w:eastAsia="Times New Roman"/>
          <w:sz w:val="22"/>
          <w:szCs w:val="22"/>
        </w:rPr>
        <w:t>pakalpojumu, par kuriem informācija pieejama</w:t>
      </w:r>
      <w:r>
        <w:rPr>
          <w:rFonts w:eastAsia="Times New Roman"/>
          <w:sz w:val="22"/>
          <w:szCs w:val="22"/>
        </w:rPr>
        <w:t xml:space="preserve"> attiecīgajā kvalitātes dienesta </w:t>
      </w:r>
      <w:r>
        <w:rPr>
          <w:sz w:val="22"/>
          <w:szCs w:val="22"/>
        </w:rPr>
        <w:t>tīmekļvietnes sadaļā “Pakalpojumi”</w:t>
      </w:r>
      <w:r>
        <w:rPr>
          <w:rStyle w:val="FootnoteAnchor"/>
          <w:color w:val="5F5F5F"/>
          <w:sz w:val="22"/>
          <w:szCs w:val="22"/>
        </w:rPr>
        <w:footnoteReference w:id="7"/>
      </w:r>
      <w:r>
        <w:rPr>
          <w:rStyle w:val="Hipersaite"/>
          <w:sz w:val="22"/>
          <w:szCs w:val="22"/>
          <w:u w:val="none"/>
        </w:rPr>
        <w:t xml:space="preserve"> </w:t>
      </w:r>
      <w:r>
        <w:rPr>
          <w:rStyle w:val="Hipersaite"/>
          <w:color w:val="auto"/>
          <w:sz w:val="22"/>
          <w:szCs w:val="22"/>
          <w:u w:val="none"/>
        </w:rPr>
        <w:t>un portālā Latvija.lv</w:t>
      </w:r>
      <w:r>
        <w:rPr>
          <w:sz w:val="22"/>
          <w:szCs w:val="22"/>
        </w:rPr>
        <w:t>.</w:t>
      </w:r>
    </w:p>
    <w:p w14:paraId="42303C43" w14:textId="77777777" w:rsidR="00087872" w:rsidRDefault="00256B13">
      <w:pPr>
        <w:spacing w:after="0"/>
        <w:contextualSpacing/>
      </w:pPr>
      <w:r>
        <w:rPr>
          <w:sz w:val="22"/>
          <w:szCs w:val="22"/>
        </w:rPr>
        <w:t>2022. gadā kvalitātes dienests turpināja sniegt apstiprinātos kvalitātes dienesta pakalpojumus</w:t>
      </w:r>
      <w:r>
        <w:rPr>
          <w:rFonts w:eastAsia="Times New Roman"/>
          <w:sz w:val="22"/>
          <w:szCs w:val="22"/>
        </w:rPr>
        <w:t>:</w:t>
      </w:r>
    </w:p>
    <w:p w14:paraId="4F84AE74" w14:textId="77777777" w:rsidR="00087872" w:rsidRDefault="00256B13">
      <w:pPr>
        <w:pStyle w:val="Sarakstarindkopa"/>
        <w:numPr>
          <w:ilvl w:val="0"/>
          <w:numId w:val="5"/>
        </w:numPr>
      </w:pPr>
      <w:r>
        <w:rPr>
          <w:rFonts w:ascii="Times New Roman" w:hAnsi="Times New Roman"/>
        </w:rPr>
        <w:t>Izglītības iestāžu reģistrācija</w:t>
      </w:r>
    </w:p>
    <w:p w14:paraId="3025895C" w14:textId="77777777" w:rsidR="00087872" w:rsidRDefault="00256B13">
      <w:pPr>
        <w:pStyle w:val="Sarakstarindkopa"/>
        <w:numPr>
          <w:ilvl w:val="0"/>
          <w:numId w:val="5"/>
        </w:numPr>
      </w:pPr>
      <w:r>
        <w:rPr>
          <w:rFonts w:ascii="Times New Roman" w:hAnsi="Times New Roman"/>
        </w:rPr>
        <w:t xml:space="preserve">Grozījumi Izglītības iestāžu </w:t>
      </w:r>
      <w:r>
        <w:rPr>
          <w:rFonts w:ascii="Times New Roman" w:hAnsi="Times New Roman"/>
        </w:rPr>
        <w:t>reģistrā</w:t>
      </w:r>
    </w:p>
    <w:p w14:paraId="2B135382" w14:textId="77777777" w:rsidR="00087872" w:rsidRDefault="00256B13">
      <w:pPr>
        <w:pStyle w:val="Sarakstarindkopa"/>
        <w:numPr>
          <w:ilvl w:val="0"/>
          <w:numId w:val="5"/>
        </w:numPr>
      </w:pPr>
      <w:r>
        <w:rPr>
          <w:rFonts w:ascii="Times New Roman" w:hAnsi="Times New Roman"/>
        </w:rPr>
        <w:t>Zinātnisko institūciju reģistrācija</w:t>
      </w:r>
    </w:p>
    <w:p w14:paraId="1F7767D6" w14:textId="77777777" w:rsidR="00087872" w:rsidRDefault="00256B13">
      <w:pPr>
        <w:pStyle w:val="Sarakstarindkopa"/>
        <w:numPr>
          <w:ilvl w:val="0"/>
          <w:numId w:val="5"/>
        </w:numPr>
      </w:pPr>
      <w:r>
        <w:rPr>
          <w:rFonts w:ascii="Times New Roman" w:hAnsi="Times New Roman"/>
        </w:rPr>
        <w:t>Grozījumi Zinātnisko institūciju reģistrā</w:t>
      </w:r>
    </w:p>
    <w:p w14:paraId="42D74CC4" w14:textId="77777777" w:rsidR="00087872" w:rsidRDefault="00256B13">
      <w:pPr>
        <w:pStyle w:val="Sarakstarindkopa"/>
        <w:numPr>
          <w:ilvl w:val="0"/>
          <w:numId w:val="5"/>
        </w:numPr>
      </w:pPr>
      <w:r>
        <w:rPr>
          <w:rFonts w:ascii="Times New Roman" w:hAnsi="Times New Roman"/>
        </w:rPr>
        <w:t>Bērnu uzraudzības pakalpojuma sniedzēju reģistrācija</w:t>
      </w:r>
    </w:p>
    <w:p w14:paraId="58A8D4BE" w14:textId="77777777" w:rsidR="00087872" w:rsidRDefault="00256B13">
      <w:pPr>
        <w:pStyle w:val="Sarakstarindkopa"/>
        <w:numPr>
          <w:ilvl w:val="0"/>
          <w:numId w:val="5"/>
        </w:numPr>
      </w:pPr>
      <w:r>
        <w:rPr>
          <w:rFonts w:ascii="Times New Roman" w:hAnsi="Times New Roman"/>
        </w:rPr>
        <w:t>Grozījumi Bērnu uzraudzības pakalpojuma sniedzēju reģistrā</w:t>
      </w:r>
    </w:p>
    <w:p w14:paraId="5FF6592F" w14:textId="77777777" w:rsidR="00087872" w:rsidRDefault="00256B13">
      <w:pPr>
        <w:pStyle w:val="Sarakstarindkopa"/>
        <w:numPr>
          <w:ilvl w:val="0"/>
          <w:numId w:val="5"/>
        </w:numPr>
      </w:pPr>
      <w:r>
        <w:rPr>
          <w:rFonts w:ascii="Times New Roman" w:hAnsi="Times New Roman"/>
        </w:rPr>
        <w:t>Pedagoga privātprakses sertifikāta izsniegšana</w:t>
      </w:r>
    </w:p>
    <w:p w14:paraId="08C849F4" w14:textId="77777777" w:rsidR="00087872" w:rsidRDefault="00256B13">
      <w:pPr>
        <w:pStyle w:val="Sarakstarindkopa"/>
        <w:numPr>
          <w:ilvl w:val="0"/>
          <w:numId w:val="5"/>
        </w:numPr>
      </w:pPr>
      <w:r>
        <w:rPr>
          <w:rFonts w:ascii="Times New Roman" w:hAnsi="Times New Roman"/>
        </w:rPr>
        <w:t>Pedagoga p</w:t>
      </w:r>
      <w:r>
        <w:rPr>
          <w:rFonts w:ascii="Times New Roman" w:hAnsi="Times New Roman"/>
        </w:rPr>
        <w:t>rivātprakses sertifikāta termiņa pagarināšana</w:t>
      </w:r>
    </w:p>
    <w:p w14:paraId="06C9BC02" w14:textId="77777777" w:rsidR="00087872" w:rsidRDefault="00256B13">
      <w:pPr>
        <w:pStyle w:val="Sarakstarindkopa"/>
        <w:numPr>
          <w:ilvl w:val="0"/>
          <w:numId w:val="5"/>
        </w:numPr>
      </w:pPr>
      <w:r>
        <w:rPr>
          <w:rFonts w:ascii="Times New Roman" w:hAnsi="Times New Roman"/>
        </w:rPr>
        <w:t>Vispārējās izglītības programmu licencēšana</w:t>
      </w:r>
    </w:p>
    <w:p w14:paraId="043E4C35" w14:textId="77777777" w:rsidR="00087872" w:rsidRDefault="00256B13">
      <w:pPr>
        <w:pStyle w:val="Sarakstarindkopa"/>
        <w:numPr>
          <w:ilvl w:val="0"/>
          <w:numId w:val="5"/>
        </w:numPr>
      </w:pPr>
      <w:r>
        <w:rPr>
          <w:rFonts w:ascii="Times New Roman" w:hAnsi="Times New Roman"/>
        </w:rPr>
        <w:t>Profesionālās izglītības programmu licencēšana</w:t>
      </w:r>
    </w:p>
    <w:p w14:paraId="64FE388F" w14:textId="77777777" w:rsidR="00087872" w:rsidRDefault="00256B13">
      <w:pPr>
        <w:pStyle w:val="Sarakstarindkopa"/>
        <w:numPr>
          <w:ilvl w:val="0"/>
          <w:numId w:val="5"/>
        </w:numPr>
      </w:pPr>
      <w:r>
        <w:rPr>
          <w:rFonts w:ascii="Times New Roman" w:hAnsi="Times New Roman"/>
        </w:rPr>
        <w:t>Grozījumi vispārējās izglītības programmas licencēšanas datos</w:t>
      </w:r>
    </w:p>
    <w:p w14:paraId="07CCC5B5" w14:textId="77777777" w:rsidR="00087872" w:rsidRDefault="00256B13">
      <w:pPr>
        <w:pStyle w:val="Sarakstarindkopa"/>
        <w:numPr>
          <w:ilvl w:val="0"/>
          <w:numId w:val="5"/>
        </w:numPr>
      </w:pPr>
      <w:r>
        <w:rPr>
          <w:rFonts w:ascii="Times New Roman" w:hAnsi="Times New Roman"/>
        </w:rPr>
        <w:t>Grozījumi profesionālās izglītības programmas licencēšana</w:t>
      </w:r>
      <w:r>
        <w:rPr>
          <w:rFonts w:ascii="Times New Roman" w:hAnsi="Times New Roman"/>
        </w:rPr>
        <w:t>s datos</w:t>
      </w:r>
    </w:p>
    <w:p w14:paraId="55C9589D" w14:textId="77777777" w:rsidR="00087872" w:rsidRDefault="00256B13">
      <w:pPr>
        <w:pStyle w:val="Sarakstarindkopa"/>
        <w:numPr>
          <w:ilvl w:val="0"/>
          <w:numId w:val="5"/>
        </w:numPr>
      </w:pPr>
      <w:r>
        <w:rPr>
          <w:rFonts w:ascii="Times New Roman" w:hAnsi="Times New Roman"/>
        </w:rPr>
        <w:t>Vispārējās izglītības iestāžu akreditācija</w:t>
      </w:r>
    </w:p>
    <w:p w14:paraId="28597127" w14:textId="77777777" w:rsidR="00087872" w:rsidRDefault="00256B13">
      <w:pPr>
        <w:pStyle w:val="Sarakstarindkopa"/>
        <w:numPr>
          <w:ilvl w:val="0"/>
          <w:numId w:val="5"/>
        </w:numPr>
      </w:pPr>
      <w:r>
        <w:rPr>
          <w:rFonts w:ascii="Times New Roman" w:hAnsi="Times New Roman"/>
        </w:rPr>
        <w:t>Profesionālās izglītības iestāžu akreditācija</w:t>
      </w:r>
    </w:p>
    <w:p w14:paraId="0A56B126" w14:textId="77777777" w:rsidR="00087872" w:rsidRDefault="00256B13">
      <w:pPr>
        <w:pStyle w:val="Sarakstarindkopa"/>
        <w:numPr>
          <w:ilvl w:val="0"/>
          <w:numId w:val="5"/>
        </w:numPr>
      </w:pPr>
      <w:r>
        <w:rPr>
          <w:rFonts w:ascii="Times New Roman" w:hAnsi="Times New Roman"/>
        </w:rPr>
        <w:t>Vispārējās izglītības programmu akreditācija</w:t>
      </w:r>
    </w:p>
    <w:p w14:paraId="3AD6B953" w14:textId="77777777" w:rsidR="00087872" w:rsidRDefault="00256B13">
      <w:pPr>
        <w:pStyle w:val="Sarakstarindkopa"/>
        <w:numPr>
          <w:ilvl w:val="0"/>
          <w:numId w:val="5"/>
        </w:numPr>
      </w:pPr>
      <w:r>
        <w:rPr>
          <w:rFonts w:ascii="Times New Roman" w:hAnsi="Times New Roman"/>
        </w:rPr>
        <w:t>Profesionālās izglītības programmu akreditācija</w:t>
      </w:r>
    </w:p>
    <w:p w14:paraId="5A9079AC" w14:textId="77777777" w:rsidR="00087872" w:rsidRDefault="00256B13">
      <w:pPr>
        <w:pStyle w:val="Sarakstarindkopa"/>
        <w:numPr>
          <w:ilvl w:val="0"/>
          <w:numId w:val="5"/>
        </w:numPr>
      </w:pPr>
      <w:r>
        <w:rPr>
          <w:rFonts w:ascii="Times New Roman" w:hAnsi="Times New Roman"/>
        </w:rPr>
        <w:t xml:space="preserve">Grozījumi lēmumā par vispārējās </w:t>
      </w:r>
      <w:r>
        <w:rPr>
          <w:rFonts w:ascii="Times New Roman" w:hAnsi="Times New Roman"/>
        </w:rPr>
        <w:t>izglītības/profesionālās izglītības iestāžu akreditāciju un/vai izglītības programmu akreditāciju</w:t>
      </w:r>
    </w:p>
    <w:p w14:paraId="73989120" w14:textId="77777777" w:rsidR="00087872" w:rsidRDefault="00256B13">
      <w:pPr>
        <w:pStyle w:val="Sarakstarindkopa"/>
        <w:numPr>
          <w:ilvl w:val="0"/>
          <w:numId w:val="5"/>
        </w:numPr>
      </w:pPr>
      <w:r>
        <w:rPr>
          <w:rFonts w:ascii="Times New Roman" w:hAnsi="Times New Roman"/>
        </w:rPr>
        <w:t>Izglītības iestāžu vadītāju profesionālās darbības novērtēšana</w:t>
      </w:r>
    </w:p>
    <w:p w14:paraId="3F046A11" w14:textId="77777777" w:rsidR="00087872" w:rsidRDefault="00256B13">
      <w:pPr>
        <w:pStyle w:val="Sarakstarindkopa"/>
        <w:numPr>
          <w:ilvl w:val="0"/>
          <w:numId w:val="5"/>
        </w:numPr>
      </w:pPr>
      <w:r>
        <w:rPr>
          <w:rFonts w:ascii="Times New Roman" w:hAnsi="Times New Roman"/>
        </w:rPr>
        <w:t>Iepriekš sodīto personu izvērtēšana un atļaujas strādāt par pedagogu izsniegšana</w:t>
      </w:r>
    </w:p>
    <w:p w14:paraId="2765E851" w14:textId="77777777" w:rsidR="00087872" w:rsidRDefault="00256B13">
      <w:pPr>
        <w:pStyle w:val="Sarakstarindkopa"/>
        <w:numPr>
          <w:ilvl w:val="0"/>
          <w:numId w:val="5"/>
        </w:numPr>
      </w:pPr>
      <w:r>
        <w:rPr>
          <w:rFonts w:ascii="Times New Roman" w:hAnsi="Times New Roman"/>
        </w:rPr>
        <w:t>Fizisku un jur</w:t>
      </w:r>
      <w:r>
        <w:rPr>
          <w:rFonts w:ascii="Times New Roman" w:hAnsi="Times New Roman"/>
        </w:rPr>
        <w:t>idisku personu iesniegumu (sūdzību) izskatīšana</w:t>
      </w:r>
    </w:p>
    <w:p w14:paraId="0B8E329C" w14:textId="77777777" w:rsidR="00087872" w:rsidRDefault="00256B13">
      <w:pPr>
        <w:pStyle w:val="Sarakstarindkopa"/>
        <w:numPr>
          <w:ilvl w:val="0"/>
          <w:numId w:val="5"/>
        </w:numPr>
      </w:pPr>
      <w:r>
        <w:rPr>
          <w:rFonts w:ascii="Times New Roman" w:hAnsi="Times New Roman"/>
        </w:rPr>
        <w:t>Psihologu reģistrācija</w:t>
      </w:r>
    </w:p>
    <w:p w14:paraId="69385393" w14:textId="77777777" w:rsidR="00087872" w:rsidRDefault="00256B13">
      <w:pPr>
        <w:pStyle w:val="Sarakstarindkopa"/>
        <w:numPr>
          <w:ilvl w:val="0"/>
          <w:numId w:val="5"/>
        </w:numPr>
      </w:pPr>
      <w:r>
        <w:rPr>
          <w:rFonts w:ascii="Times New Roman" w:hAnsi="Times New Roman"/>
        </w:rPr>
        <w:t>Grozījumi Psihologu reģistrā</w:t>
      </w:r>
    </w:p>
    <w:p w14:paraId="30EB247E" w14:textId="77777777" w:rsidR="00087872" w:rsidRDefault="00256B13">
      <w:pPr>
        <w:pStyle w:val="Sarakstarindkopa"/>
        <w:numPr>
          <w:ilvl w:val="0"/>
          <w:numId w:val="5"/>
        </w:numPr>
      </w:pPr>
      <w:r>
        <w:rPr>
          <w:rFonts w:ascii="Times New Roman" w:hAnsi="Times New Roman"/>
        </w:rPr>
        <w:t>Psihologu sertifikācija</w:t>
      </w:r>
    </w:p>
    <w:p w14:paraId="47E3B370" w14:textId="77777777" w:rsidR="00087872" w:rsidRDefault="00256B13">
      <w:pPr>
        <w:pStyle w:val="Sarakstarindkopa"/>
        <w:numPr>
          <w:ilvl w:val="0"/>
          <w:numId w:val="5"/>
        </w:numPr>
        <w:ind w:left="714" w:hanging="357"/>
        <w:contextualSpacing w:val="0"/>
      </w:pPr>
      <w:r>
        <w:rPr>
          <w:rFonts w:ascii="Times New Roman" w:hAnsi="Times New Roman"/>
        </w:rPr>
        <w:t>Psihologa-pārrauga tiesību piešķiršana</w:t>
      </w:r>
      <w:r>
        <w:rPr>
          <w:bCs/>
        </w:rPr>
        <w:t>.</w:t>
      </w:r>
    </w:p>
    <w:p w14:paraId="0567BC56" w14:textId="77777777" w:rsidR="00087872" w:rsidRDefault="00256B13">
      <w:pPr>
        <w:pStyle w:val="Sarakstarindkopa"/>
        <w:ind w:left="0"/>
        <w:contextualSpacing w:val="0"/>
      </w:pPr>
      <w:r>
        <w:rPr>
          <w:rFonts w:ascii="Times New Roman" w:hAnsi="Times New Roman"/>
        </w:rPr>
        <w:t>2022. gadā portālā Latvija.lv regulāri aktualizēti to publisko pakalpojumu apraksti, kurus k</w:t>
      </w:r>
      <w:r>
        <w:rPr>
          <w:rFonts w:ascii="Times New Roman" w:hAnsi="Times New Roman"/>
        </w:rPr>
        <w:t xml:space="preserve">valitātes dienests sniedz privātpersonām un kuri pilnībā netiek sniegti, izmantojot VIIS. </w:t>
      </w:r>
    </w:p>
    <w:p w14:paraId="77B0F140" w14:textId="77777777" w:rsidR="00087872" w:rsidRDefault="00256B13">
      <w:pPr>
        <w:pStyle w:val="Sarakstarindkopa"/>
        <w:ind w:left="0"/>
      </w:pPr>
      <w:r>
        <w:rPr>
          <w:rFonts w:ascii="Times New Roman" w:hAnsi="Times New Roman"/>
        </w:rPr>
        <w:t xml:space="preserve">Informācija par konkrēto pakalpojumu rezultatīvajiem rādītājiem atrodama šī pārskata attiecīgajās sadaļās. </w:t>
      </w:r>
    </w:p>
    <w:p w14:paraId="5A24256D" w14:textId="77777777" w:rsidR="00087872" w:rsidRDefault="00087872">
      <w:pPr>
        <w:pStyle w:val="Sarakstarindkopa"/>
        <w:ind w:left="0"/>
        <w:rPr>
          <w:rFonts w:ascii="Times New Roman" w:hAnsi="Times New Roman"/>
        </w:rPr>
      </w:pPr>
    </w:p>
    <w:p w14:paraId="37BCA622" w14:textId="77777777" w:rsidR="00087872" w:rsidRPr="00F5276E" w:rsidRDefault="00256B13" w:rsidP="00F5276E">
      <w:pPr>
        <w:pStyle w:val="Virsraksts21"/>
      </w:pPr>
      <w:bookmarkStart w:id="71" w:name="_Toc139120237"/>
      <w:bookmarkStart w:id="72" w:name="_Toc456012554"/>
      <w:bookmarkStart w:id="73" w:name="_Toc456012654"/>
      <w:r w:rsidRPr="00F5276E">
        <w:t>2.5. Stratēģijas ieviešanas novērtējums</w:t>
      </w:r>
      <w:bookmarkEnd w:id="71"/>
      <w:r w:rsidRPr="00F5276E">
        <w:t xml:space="preserve"> </w:t>
      </w:r>
      <w:bookmarkEnd w:id="72"/>
      <w:bookmarkEnd w:id="73"/>
    </w:p>
    <w:p w14:paraId="5B3E3087" w14:textId="77777777" w:rsidR="00087872" w:rsidRDefault="00256B13">
      <w:r>
        <w:rPr>
          <w:rFonts w:eastAsia="Times New Roman"/>
          <w:color w:val="000000"/>
          <w:sz w:val="22"/>
          <w:szCs w:val="22"/>
          <w:lang w:eastAsia="lv-LV"/>
        </w:rPr>
        <w:t>Kvalitātes dien</w:t>
      </w:r>
      <w:r>
        <w:rPr>
          <w:rFonts w:eastAsia="Times New Roman"/>
          <w:color w:val="000000"/>
          <w:sz w:val="22"/>
          <w:szCs w:val="22"/>
          <w:lang w:eastAsia="lv-LV"/>
        </w:rPr>
        <w:t xml:space="preserve">esta darbu pārskata periodā noteica vairāki plānošanas dokumenti. </w:t>
      </w:r>
      <w:r>
        <w:rPr>
          <w:rFonts w:eastAsia="Times New Roman"/>
          <w:bCs/>
          <w:color w:val="000000"/>
          <w:sz w:val="22"/>
          <w:szCs w:val="22"/>
          <w:lang w:eastAsia="lv-LV"/>
        </w:rPr>
        <w:t xml:space="preserve">Pirmkārt, Latvijas Nacionālajā attīstības plānā (NAP) 2021.–2027 gadam uzmanība pievērsta iekļaujošai izglītībai, izglītības kvalitātei un </w:t>
      </w:r>
      <w:r>
        <w:rPr>
          <w:rFonts w:eastAsia="Times New Roman"/>
          <w:color w:val="000000"/>
          <w:sz w:val="22"/>
          <w:szCs w:val="22"/>
          <w:lang w:eastAsia="lv-LV"/>
        </w:rPr>
        <w:t xml:space="preserve">profesionālās izglītības attīstībai. Lai </w:t>
      </w:r>
      <w:r>
        <w:rPr>
          <w:rFonts w:eastAsia="Times New Roman"/>
          <w:color w:val="000000"/>
          <w:sz w:val="22"/>
          <w:szCs w:val="22"/>
          <w:lang w:eastAsia="lv-LV"/>
        </w:rPr>
        <w:t xml:space="preserve">veicinātu iekļaujošu izglītību, kā arī pildītu NAP uzdevumu īstenot pasākumus izglītības pārtraukšanas riska mazināšanai, kvalitātes dienests turpināja īstenot projektu </w:t>
      </w:r>
      <w:proofErr w:type="spellStart"/>
      <w:r>
        <w:rPr>
          <w:rFonts w:eastAsia="Times New Roman"/>
          <w:color w:val="000000"/>
          <w:sz w:val="22"/>
          <w:szCs w:val="22"/>
          <w:lang w:eastAsia="lv-LV"/>
        </w:rPr>
        <w:t>PuMPuRS</w:t>
      </w:r>
      <w:proofErr w:type="spellEnd"/>
      <w:r>
        <w:rPr>
          <w:rFonts w:eastAsia="Times New Roman"/>
          <w:color w:val="000000"/>
          <w:sz w:val="22"/>
          <w:szCs w:val="22"/>
          <w:lang w:eastAsia="lv-LV"/>
        </w:rPr>
        <w:t xml:space="preserve"> (skat. 25.–28. lpp.). Tāpat kvalitātes dienests kopā ar IZM un VISC strādāja pi</w:t>
      </w:r>
      <w:r>
        <w:rPr>
          <w:rFonts w:eastAsia="Times New Roman"/>
          <w:color w:val="000000"/>
          <w:sz w:val="22"/>
          <w:szCs w:val="22"/>
          <w:lang w:eastAsia="lv-LV"/>
        </w:rPr>
        <w:t>e izglītības kvalitātes monitoringa sistēmas izveides izglītības kvalitātes pilnveidei un iekļaujošas izglītības veicināšanai (skat. 28., 29. lpp.).</w:t>
      </w:r>
    </w:p>
    <w:p w14:paraId="7BD8A480" w14:textId="77777777" w:rsidR="00087872" w:rsidRDefault="00256B13">
      <w:r>
        <w:rPr>
          <w:rFonts w:eastAsia="Times New Roman"/>
          <w:color w:val="000000"/>
          <w:sz w:val="22"/>
          <w:szCs w:val="22"/>
          <w:lang w:eastAsia="lv-LV"/>
        </w:rPr>
        <w:t>Lai piedalītos uzdevuma par pieaugušo izglītības īstenošanu tautsaimniecības attīstībai nepieciešamo prasmj</w:t>
      </w:r>
      <w:r>
        <w:rPr>
          <w:rFonts w:eastAsia="Times New Roman"/>
          <w:color w:val="000000"/>
          <w:sz w:val="22"/>
          <w:szCs w:val="22"/>
          <w:lang w:eastAsia="lv-LV"/>
        </w:rPr>
        <w:t>u apguvei, kvalitātes dienests 2021. gadā sāka dalību ESF projektā Nr.7.1.1. (skat. 29., 30. lpp.)</w:t>
      </w:r>
    </w:p>
    <w:p w14:paraId="412BAD33" w14:textId="77777777" w:rsidR="00087872" w:rsidRDefault="00256B13">
      <w:r>
        <w:rPr>
          <w:rFonts w:eastAsia="Times New Roman"/>
          <w:color w:val="000000"/>
          <w:sz w:val="22"/>
          <w:szCs w:val="22"/>
          <w:lang w:eastAsia="lv-LV"/>
        </w:rPr>
        <w:t xml:space="preserve">Otrkārt, 2022. gadā turpinājās Izglītības attīstības pamatnostādņu (IAP) 2021.–2027. gadam īstenošana. IAP </w:t>
      </w:r>
      <w:proofErr w:type="spellStart"/>
      <w:r>
        <w:rPr>
          <w:rFonts w:eastAsia="Times New Roman"/>
          <w:color w:val="000000"/>
          <w:sz w:val="22"/>
          <w:szCs w:val="22"/>
          <w:lang w:eastAsia="lv-LV"/>
        </w:rPr>
        <w:t>virsmērķis</w:t>
      </w:r>
      <w:proofErr w:type="spellEnd"/>
      <w:r>
        <w:rPr>
          <w:rFonts w:eastAsia="Times New Roman"/>
          <w:color w:val="000000"/>
          <w:sz w:val="22"/>
          <w:szCs w:val="22"/>
          <w:lang w:eastAsia="lv-LV"/>
        </w:rPr>
        <w:t xml:space="preserve"> ir nodrošināt kvalitatīvas izglītības i</w:t>
      </w:r>
      <w:r>
        <w:rPr>
          <w:rFonts w:eastAsia="Times New Roman"/>
          <w:color w:val="000000"/>
          <w:sz w:val="22"/>
          <w:szCs w:val="22"/>
          <w:lang w:eastAsia="lv-LV"/>
        </w:rPr>
        <w:t xml:space="preserve">espējas visiem Latvijas iedzīvotājiem, lai veicinātu viņu potenciāla attīstību un īstenošanu mūža garumā un lai veidotu viņu spēju mainīties un atbildīgi vadīt pastāvīgās pārmaiņas sabiedrībā un tautsaimniecībā. </w:t>
      </w:r>
    </w:p>
    <w:p w14:paraId="43A04A2E" w14:textId="77777777" w:rsidR="00087872" w:rsidRDefault="00256B13">
      <w:pPr>
        <w:spacing w:after="0"/>
      </w:pPr>
      <w:r>
        <w:rPr>
          <w:rFonts w:eastAsia="Times New Roman"/>
          <w:color w:val="000000"/>
          <w:sz w:val="22"/>
          <w:szCs w:val="22"/>
          <w:lang w:eastAsia="lv-LV"/>
        </w:rPr>
        <w:t>IAP 2021.–2027. gadam noteikti četri izglīt</w:t>
      </w:r>
      <w:r>
        <w:rPr>
          <w:rFonts w:eastAsia="Times New Roman"/>
          <w:color w:val="000000"/>
          <w:sz w:val="22"/>
          <w:szCs w:val="22"/>
          <w:lang w:eastAsia="lv-LV"/>
        </w:rPr>
        <w:t>ības attīstības mērķi:</w:t>
      </w:r>
    </w:p>
    <w:p w14:paraId="774A9994" w14:textId="77777777" w:rsidR="00087872" w:rsidRDefault="00256B13">
      <w:pPr>
        <w:pStyle w:val="Sarakstarindkopa"/>
        <w:numPr>
          <w:ilvl w:val="0"/>
          <w:numId w:val="7"/>
        </w:numPr>
        <w:spacing w:after="0"/>
      </w:pPr>
      <w:r>
        <w:rPr>
          <w:rFonts w:ascii="Times New Roman" w:eastAsia="Times New Roman" w:hAnsi="Times New Roman"/>
          <w:color w:val="000000"/>
        </w:rPr>
        <w:t>augsti kvalificēti, kompetenti un uz izcilību orientēti pedagogi un akadēmiskais personāls;</w:t>
      </w:r>
    </w:p>
    <w:p w14:paraId="03F2BEED" w14:textId="77777777" w:rsidR="00087872" w:rsidRDefault="00256B13">
      <w:pPr>
        <w:pStyle w:val="Sarakstarindkopa"/>
        <w:numPr>
          <w:ilvl w:val="0"/>
          <w:numId w:val="7"/>
        </w:numPr>
        <w:spacing w:after="0"/>
      </w:pPr>
      <w:r>
        <w:rPr>
          <w:rFonts w:ascii="Times New Roman" w:eastAsia="Times New Roman" w:hAnsi="Times New Roman"/>
          <w:color w:val="000000"/>
        </w:rPr>
        <w:t>mūsdienīgs, kvalitatīvs un uz darba tirgū augsti novērtētu prasmju attīstīšanu orientēts izglītības piedāvājums;</w:t>
      </w:r>
    </w:p>
    <w:p w14:paraId="12933CD4" w14:textId="77777777" w:rsidR="00087872" w:rsidRDefault="00256B13">
      <w:pPr>
        <w:pStyle w:val="Sarakstarindkopa"/>
        <w:numPr>
          <w:ilvl w:val="0"/>
          <w:numId w:val="7"/>
        </w:numPr>
        <w:spacing w:after="0"/>
      </w:pPr>
      <w:r>
        <w:rPr>
          <w:rFonts w:ascii="Times New Roman" w:eastAsia="Times New Roman" w:hAnsi="Times New Roman"/>
          <w:color w:val="000000"/>
        </w:rPr>
        <w:t>atbalsts ikviena izaugsmei;</w:t>
      </w:r>
    </w:p>
    <w:p w14:paraId="3591435E" w14:textId="77777777" w:rsidR="00087872" w:rsidRDefault="00256B13">
      <w:pPr>
        <w:pStyle w:val="Sarakstarindkopa"/>
        <w:numPr>
          <w:ilvl w:val="0"/>
          <w:numId w:val="7"/>
        </w:numPr>
      </w:pPr>
      <w:r>
        <w:rPr>
          <w:rFonts w:ascii="Times New Roman" w:eastAsia="Times New Roman" w:hAnsi="Times New Roman"/>
          <w:color w:val="000000"/>
        </w:rPr>
        <w:t>ilgtspējīga un efektīva izglītības sistēmas un resursu pārvaldība.</w:t>
      </w:r>
    </w:p>
    <w:p w14:paraId="20D24963" w14:textId="77777777" w:rsidR="00087872" w:rsidRDefault="00256B13">
      <w:pPr>
        <w:contextualSpacing/>
      </w:pPr>
      <w:r>
        <w:rPr>
          <w:rFonts w:eastAsia="Times New Roman"/>
          <w:sz w:val="22"/>
          <w:szCs w:val="22"/>
        </w:rPr>
        <w:t xml:space="preserve">Kvalitātes dienests iesaistījies Izglītības attīstības pamatnostādņu 2021.–2027. gadam rīcības plānā 2021.–2023. gadam noteikto uzdevumu īstenošanā: </w:t>
      </w:r>
    </w:p>
    <w:p w14:paraId="3E562572" w14:textId="77777777" w:rsidR="00087872" w:rsidRDefault="00256B13">
      <w:pPr>
        <w:contextualSpacing/>
      </w:pPr>
      <w:r>
        <w:rPr>
          <w:rFonts w:eastAsia="Times New Roman"/>
          <w:sz w:val="22"/>
          <w:szCs w:val="22"/>
        </w:rPr>
        <w:t xml:space="preserve">1) Sniegt atbalstu </w:t>
      </w:r>
      <w:r>
        <w:rPr>
          <w:rFonts w:eastAsia="Times New Roman"/>
          <w:sz w:val="22"/>
          <w:szCs w:val="22"/>
        </w:rPr>
        <w:t xml:space="preserve">izglītojamiem ar priekšlaicīgas mācību pārtraukšanas risku un izveidot ilgtspējīgu atbalsta sistēmu priekšlaicīgas mācību pārtraukšanas samazināšanai (turpinās projekta </w:t>
      </w:r>
      <w:proofErr w:type="spellStart"/>
      <w:r>
        <w:rPr>
          <w:rFonts w:eastAsia="Times New Roman"/>
          <w:sz w:val="22"/>
          <w:szCs w:val="22"/>
        </w:rPr>
        <w:t>PuMPuRS</w:t>
      </w:r>
      <w:proofErr w:type="spellEnd"/>
      <w:r>
        <w:rPr>
          <w:rFonts w:eastAsia="Times New Roman"/>
          <w:sz w:val="22"/>
          <w:szCs w:val="22"/>
        </w:rPr>
        <w:t xml:space="preserve"> īstenošana);</w:t>
      </w:r>
    </w:p>
    <w:p w14:paraId="09E74F06" w14:textId="77777777" w:rsidR="00087872" w:rsidRDefault="00256B13">
      <w:pPr>
        <w:contextualSpacing/>
      </w:pPr>
      <w:r>
        <w:rPr>
          <w:rFonts w:eastAsia="Times New Roman"/>
          <w:sz w:val="22"/>
          <w:szCs w:val="22"/>
        </w:rPr>
        <w:t>2) Stiprināt izglītības iestāžu vadītāju kapacitāti (izglītības ie</w:t>
      </w:r>
      <w:r>
        <w:rPr>
          <w:rFonts w:eastAsia="Times New Roman"/>
          <w:sz w:val="22"/>
          <w:szCs w:val="22"/>
        </w:rPr>
        <w:t>stāžu vadītāju kapacitāte pamatā tiek stiprināta kvalitātes dienesta īstenotajos kursos);</w:t>
      </w:r>
    </w:p>
    <w:p w14:paraId="09CF4D09" w14:textId="77777777" w:rsidR="00087872" w:rsidRDefault="00256B13">
      <w:pPr>
        <w:contextualSpacing/>
      </w:pPr>
      <w:r>
        <w:rPr>
          <w:rFonts w:eastAsia="Times New Roman"/>
          <w:sz w:val="22"/>
          <w:szCs w:val="22"/>
        </w:rPr>
        <w:t xml:space="preserve">3) </w:t>
      </w:r>
      <w:r>
        <w:rPr>
          <w:sz w:val="22"/>
          <w:szCs w:val="22"/>
          <w:shd w:val="clear" w:color="auto" w:fill="FFFFFF"/>
        </w:rPr>
        <w:t xml:space="preserve">Pilnveidot izglītības iestāžu vadītāju vērtēšanas sistēmu </w:t>
      </w:r>
      <w:r>
        <w:rPr>
          <w:rFonts w:eastAsia="Times New Roman"/>
          <w:color w:val="000000"/>
          <w:sz w:val="22"/>
          <w:szCs w:val="22"/>
        </w:rPr>
        <w:t>(skat. 2.2.3. apakšnodaļu “Izglītības kvalitātes novērtēšana un nodrošināšana”</w:t>
      </w:r>
      <w:r>
        <w:rPr>
          <w:sz w:val="22"/>
          <w:szCs w:val="22"/>
          <w:shd w:val="clear" w:color="auto" w:fill="FFFFFF"/>
        </w:rPr>
        <w:t>;</w:t>
      </w:r>
    </w:p>
    <w:p w14:paraId="70CAFA0E" w14:textId="77777777" w:rsidR="00087872" w:rsidRDefault="00256B13">
      <w:r>
        <w:rPr>
          <w:sz w:val="22"/>
          <w:szCs w:val="22"/>
          <w:shd w:val="clear" w:color="auto" w:fill="FFFFFF"/>
        </w:rPr>
        <w:t>4) Izveidot un aprobēt ri</w:t>
      </w:r>
      <w:r>
        <w:rPr>
          <w:sz w:val="22"/>
          <w:szCs w:val="22"/>
          <w:shd w:val="clear" w:color="auto" w:fill="FFFFFF"/>
        </w:rPr>
        <w:t>sku (agrīnas) identificēšanas sistēmu vispārējās, profesionālās, profesionālās ievirzes izglītības iestādēs, īstenojot pētījumu "Pētījums risku identificēšanas sistēmas izstrādei un ieviešanai" (skat. 2.3.2. apakšnodaļu “ESF projekta 8.3.6.2. pasākuma proj</w:t>
      </w:r>
      <w:r>
        <w:rPr>
          <w:sz w:val="22"/>
          <w:szCs w:val="22"/>
          <w:shd w:val="clear" w:color="auto" w:fill="FFFFFF"/>
        </w:rPr>
        <w:t>ekta “Izglītības kvalitātes monitoringa sistēmas izveide un īstenošana” īstenošana”).</w:t>
      </w:r>
    </w:p>
    <w:p w14:paraId="35E7D63C" w14:textId="77777777" w:rsidR="00087872" w:rsidRDefault="00256B13">
      <w:r>
        <w:rPr>
          <w:rFonts w:eastAsia="Times New Roman"/>
          <w:color w:val="000000"/>
          <w:sz w:val="22"/>
          <w:szCs w:val="22"/>
          <w:lang w:eastAsia="lv-LV"/>
        </w:rPr>
        <w:t>Izpildot deklarācijas par Krišjāņa Kariņa vadītā Ministru kabineta iecerēto darbību</w:t>
      </w:r>
      <w:r>
        <w:rPr>
          <w:rFonts w:eastAsia="Times New Roman"/>
          <w:sz w:val="22"/>
          <w:szCs w:val="22"/>
        </w:rPr>
        <w:t xml:space="preserve"> Rīcības plāna (valdības rīcības plāns) pasākumu “Paplašināt pirmsskolas izglītības pie</w:t>
      </w:r>
      <w:r>
        <w:rPr>
          <w:rFonts w:eastAsia="Times New Roman"/>
          <w:sz w:val="22"/>
          <w:szCs w:val="22"/>
        </w:rPr>
        <w:t>ejamību un pirmsskolas bērnu pieskatīšanas iespējas”, kvalitātes dienests turpināja bērnu uzraudzības pakalpojuma sniedzēju reģistrācijas un konsultēšanas procesu. Informācija par reģistrētiem bērnu uzraudzības pakalpojuma sniedzējiem publiskota portālā La</w:t>
      </w:r>
      <w:r>
        <w:rPr>
          <w:rFonts w:eastAsia="Times New Roman"/>
          <w:sz w:val="22"/>
          <w:szCs w:val="22"/>
        </w:rPr>
        <w:t>tvija.lv.</w:t>
      </w:r>
    </w:p>
    <w:p w14:paraId="1A128C0C" w14:textId="77777777" w:rsidR="00087872" w:rsidRDefault="00256B13">
      <w:r>
        <w:rPr>
          <w:rFonts w:eastAsia="Times New Roman"/>
          <w:sz w:val="22"/>
          <w:szCs w:val="22"/>
        </w:rPr>
        <w:t>Valdības rīcības plāna pasākuma “Pilnveidot izglītības kvalitātes ārējo un iekšējo novērtēšanu akreditācijas procesā, iekļaujot to vienotā izglītības kvalitātes monitoringa sistēmā” izpildei 2022. gadā turpināta izglītības kvalitātes novērtēšanas</w:t>
      </w:r>
      <w:r>
        <w:rPr>
          <w:rFonts w:eastAsia="Times New Roman"/>
          <w:sz w:val="22"/>
          <w:szCs w:val="22"/>
        </w:rPr>
        <w:t xml:space="preserve"> pilnveide (plašāk – 2.2.3. apakšnodaļā “Izglītības kvalitātes novērtēšana un nodrošināšana”). </w:t>
      </w:r>
    </w:p>
    <w:p w14:paraId="54937071" w14:textId="77777777" w:rsidR="00087872" w:rsidRDefault="00256B13">
      <w:r>
        <w:rPr>
          <w:rFonts w:eastAsia="Times New Roman"/>
          <w:sz w:val="22"/>
          <w:szCs w:val="22"/>
        </w:rPr>
        <w:t>Pildot valdības rīcības plāna pasākumu “Samazināt bērnu un jauniešu priekšlaicīgu mācību pārtraukšanu, īstenojot preventīvus un intervences pasākumus, t.sk. vei</w:t>
      </w:r>
      <w:r>
        <w:rPr>
          <w:rFonts w:eastAsia="Times New Roman"/>
          <w:sz w:val="22"/>
          <w:szCs w:val="22"/>
        </w:rPr>
        <w:t xml:space="preserve">dojot atbalstošu mācību vidi Latvijas vispārējās un profesionālajās izglītības iestādēs”, turpinājās projekta </w:t>
      </w:r>
      <w:proofErr w:type="spellStart"/>
      <w:r>
        <w:rPr>
          <w:rFonts w:eastAsia="Times New Roman"/>
          <w:sz w:val="22"/>
          <w:szCs w:val="22"/>
        </w:rPr>
        <w:t>PuMPuRS</w:t>
      </w:r>
      <w:proofErr w:type="spellEnd"/>
      <w:r>
        <w:rPr>
          <w:rFonts w:eastAsia="Times New Roman"/>
          <w:sz w:val="22"/>
          <w:szCs w:val="22"/>
        </w:rPr>
        <w:t xml:space="preserve"> īstenošana (skat. 2.2.6. apakšnodaļu “ESF projekta Nr.8.3.4.0/16/I/001 “Atbalsts priekšlaicīgas mācību pārtraukšanas samazināšanai” (“</w:t>
      </w:r>
      <w:proofErr w:type="spellStart"/>
      <w:r>
        <w:rPr>
          <w:rFonts w:eastAsia="Times New Roman"/>
          <w:sz w:val="22"/>
          <w:szCs w:val="22"/>
        </w:rPr>
        <w:t>PuMP</w:t>
      </w:r>
      <w:r>
        <w:rPr>
          <w:rFonts w:eastAsia="Times New Roman"/>
          <w:sz w:val="22"/>
          <w:szCs w:val="22"/>
        </w:rPr>
        <w:t>uRS</w:t>
      </w:r>
      <w:proofErr w:type="spellEnd"/>
      <w:r>
        <w:rPr>
          <w:rFonts w:eastAsia="Times New Roman"/>
          <w:sz w:val="22"/>
          <w:szCs w:val="22"/>
        </w:rPr>
        <w:t xml:space="preserve">”) īstenošana”). </w:t>
      </w:r>
    </w:p>
    <w:p w14:paraId="374D6EDA" w14:textId="77777777" w:rsidR="00087872" w:rsidRDefault="00256B13">
      <w:r>
        <w:rPr>
          <w:rFonts w:eastAsia="Times New Roman"/>
          <w:sz w:val="22"/>
          <w:szCs w:val="22"/>
        </w:rPr>
        <w:t>Kvalitātes dienests arī iesaistījās darba grupās par DVB mācību īstenošanu un Profesionālās izglītības likuma grozījumiem, izpildot valdības rīcības plāna pasākumus, kas saistīti ar profesionālās izglītības kvalitātes pilnveidi un attī</w:t>
      </w:r>
      <w:r>
        <w:rPr>
          <w:rFonts w:eastAsia="Times New Roman"/>
          <w:sz w:val="22"/>
          <w:szCs w:val="22"/>
        </w:rPr>
        <w:t xml:space="preserve">stību. </w:t>
      </w:r>
    </w:p>
    <w:p w14:paraId="30A265D5" w14:textId="77777777" w:rsidR="00087872" w:rsidRDefault="00087872">
      <w:pPr>
        <w:rPr>
          <w:rFonts w:eastAsia="Times New Roman"/>
          <w:sz w:val="22"/>
          <w:szCs w:val="22"/>
        </w:rPr>
      </w:pPr>
    </w:p>
    <w:p w14:paraId="61295E8A" w14:textId="77777777" w:rsidR="00087872" w:rsidRDefault="00256B13" w:rsidP="00F5276E">
      <w:pPr>
        <w:pStyle w:val="Virsraksts21"/>
      </w:pPr>
      <w:r>
        <w:t>2.6. Pārskats par iestādes vadības un darbības uzlabošanas sistēmām, tostarp pretkorupcijas pasākumiem</w:t>
      </w:r>
    </w:p>
    <w:p w14:paraId="0B1CBCE3" w14:textId="77777777" w:rsidR="00087872" w:rsidRDefault="00256B13">
      <w:r>
        <w:rPr>
          <w:rFonts w:eastAsia="Times New Roman"/>
          <w:sz w:val="22"/>
          <w:szCs w:val="22"/>
        </w:rPr>
        <w:t>Pārskata periodā kvalitātes dienests savā darbībā turpināja nodrošināt lēmumu pieņemšanas objektivitāti un novērst iespējamos interešu konfliktu</w:t>
      </w:r>
      <w:r>
        <w:rPr>
          <w:rFonts w:eastAsia="Times New Roman"/>
          <w:sz w:val="22"/>
          <w:szCs w:val="22"/>
        </w:rPr>
        <w:t>s, ieviešot</w:t>
      </w:r>
      <w:r>
        <w:rPr>
          <w:rFonts w:eastAsia="Times New Roman"/>
          <w:bCs/>
          <w:sz w:val="22"/>
          <w:szCs w:val="22"/>
        </w:rPr>
        <w:t xml:space="preserve"> kvalitātes dienesta pretkorupcijas pasākumu plānu</w:t>
      </w:r>
      <w:r>
        <w:rPr>
          <w:rFonts w:eastAsia="Times New Roman"/>
          <w:sz w:val="22"/>
          <w:szCs w:val="22"/>
        </w:rPr>
        <w:t xml:space="preserve">. Lai organizētu un uzraudzītu pretkorupcijas pasākumu plāna ieviešanu, kvalitātes dienestā darbojas Pretkorupcijas risku novēršanas komisija. </w:t>
      </w:r>
    </w:p>
    <w:p w14:paraId="68870164" w14:textId="77777777" w:rsidR="00087872" w:rsidRDefault="00256B13">
      <w:r>
        <w:rPr>
          <w:rFonts w:eastAsia="Times New Roman"/>
          <w:sz w:val="22"/>
          <w:szCs w:val="22"/>
        </w:rPr>
        <w:t xml:space="preserve">Kvalitātes dienesta darbības </w:t>
      </w:r>
      <w:proofErr w:type="spellStart"/>
      <w:r>
        <w:rPr>
          <w:rFonts w:eastAsia="Times New Roman"/>
          <w:sz w:val="22"/>
          <w:szCs w:val="22"/>
        </w:rPr>
        <w:t>pārredzamība</w:t>
      </w:r>
      <w:proofErr w:type="spellEnd"/>
      <w:r>
        <w:rPr>
          <w:rFonts w:eastAsia="Times New Roman"/>
          <w:sz w:val="22"/>
          <w:szCs w:val="22"/>
        </w:rPr>
        <w:t xml:space="preserve"> un sadarb</w:t>
      </w:r>
      <w:r>
        <w:rPr>
          <w:rFonts w:eastAsia="Times New Roman"/>
          <w:sz w:val="22"/>
          <w:szCs w:val="22"/>
        </w:rPr>
        <w:t>ība ar ieinteresētajām pusēm tiek veicināta, regulāri sniedzot informāciju dienesta tīmekļvietnē un plašsaziņas līdzekļos, kā arī tiekoties ar ieinteresētajām pusēm, tajā skaitā nevalstisko organizāciju, pašvaldību, valsts iestāžu, izglītības iestāžu pārst</w:t>
      </w:r>
      <w:r>
        <w:rPr>
          <w:rFonts w:eastAsia="Times New Roman"/>
          <w:sz w:val="22"/>
          <w:szCs w:val="22"/>
        </w:rPr>
        <w:t>āvjiem un konsultējot viņus kvalitātes dienesta kompetences jautājumos.</w:t>
      </w:r>
    </w:p>
    <w:p w14:paraId="1E4D4A9F" w14:textId="77777777" w:rsidR="00087872" w:rsidRDefault="00256B13">
      <w:pPr>
        <w:spacing w:after="0"/>
      </w:pPr>
      <w:r>
        <w:rPr>
          <w:rFonts w:eastAsia="Times New Roman"/>
          <w:sz w:val="22"/>
          <w:szCs w:val="22"/>
        </w:rPr>
        <w:t xml:space="preserve">Lai pilnveidotu un </w:t>
      </w:r>
      <w:proofErr w:type="spellStart"/>
      <w:r>
        <w:rPr>
          <w:rFonts w:eastAsia="Times New Roman"/>
          <w:sz w:val="22"/>
          <w:szCs w:val="22"/>
        </w:rPr>
        <w:t>efektivizētu</w:t>
      </w:r>
      <w:proofErr w:type="spellEnd"/>
      <w:r>
        <w:rPr>
          <w:rFonts w:eastAsia="Times New Roman"/>
          <w:sz w:val="22"/>
          <w:szCs w:val="22"/>
        </w:rPr>
        <w:t xml:space="preserve"> kvalitātes dienesta darbību, stiprinātu kvalitātes dienesta kapacitāti un uzlabotu pakalpojumu izpildes kvalitāti, kā arī ievērojot 2022. gada 27. septe</w:t>
      </w:r>
      <w:r>
        <w:rPr>
          <w:rFonts w:eastAsia="Times New Roman"/>
          <w:sz w:val="22"/>
          <w:szCs w:val="22"/>
        </w:rPr>
        <w:t>mbra grozījumus Ministru kabineta 2013. gada 23. aprīļa noteikumos Nr. 225 „Izglītības kvalitātes valsts dienesta nolikums”, kas noteica izmaiņas kvalitātes dienesta funkcijās, un Izglītības kvalitātes valsts dienesta 2022. gada 13. oktobra reglamentu Nr.1</w:t>
      </w:r>
      <w:r>
        <w:rPr>
          <w:rFonts w:eastAsia="Times New Roman"/>
          <w:sz w:val="22"/>
          <w:szCs w:val="22"/>
        </w:rPr>
        <w:t>D-04e/1, ar 2022. gada 24. oktobra  kvalitātes dienesta rīkojumu Nr.1D-05e/355 “Par funkciju nodrošināšanas un struktūrvienību darbības pilnveides pasākumiem” tika mainīta kvalitātes dienesta struktūra un izveidotas jaunas patstāvīgās struktūrvienības (ska</w:t>
      </w:r>
      <w:r>
        <w:rPr>
          <w:rFonts w:eastAsia="Times New Roman"/>
          <w:sz w:val="22"/>
          <w:szCs w:val="22"/>
        </w:rPr>
        <w:t xml:space="preserve">t. 9. attēlu): </w:t>
      </w:r>
    </w:p>
    <w:p w14:paraId="163481D1" w14:textId="77777777" w:rsidR="00087872" w:rsidRDefault="00256B13">
      <w:pPr>
        <w:spacing w:after="0"/>
      </w:pPr>
      <w:r>
        <w:rPr>
          <w:rFonts w:eastAsia="Times New Roman"/>
          <w:sz w:val="22"/>
          <w:szCs w:val="22"/>
        </w:rPr>
        <w:t>1.</w:t>
      </w:r>
      <w:r>
        <w:rPr>
          <w:rFonts w:eastAsia="Times New Roman"/>
          <w:sz w:val="22"/>
          <w:szCs w:val="22"/>
        </w:rPr>
        <w:tab/>
        <w:t>Kvalitātes nodrošināšanas departaments.</w:t>
      </w:r>
    </w:p>
    <w:p w14:paraId="7764F069" w14:textId="77777777" w:rsidR="00087872" w:rsidRDefault="00256B13">
      <w:pPr>
        <w:spacing w:after="0"/>
      </w:pPr>
      <w:r>
        <w:rPr>
          <w:rFonts w:eastAsia="Times New Roman"/>
          <w:sz w:val="22"/>
          <w:szCs w:val="22"/>
        </w:rPr>
        <w:t>2.</w:t>
      </w:r>
      <w:r>
        <w:rPr>
          <w:rFonts w:eastAsia="Times New Roman"/>
          <w:sz w:val="22"/>
          <w:szCs w:val="22"/>
        </w:rPr>
        <w:tab/>
        <w:t>Kvalitātes vērtēšanas departaments.</w:t>
      </w:r>
    </w:p>
    <w:p w14:paraId="7667E2E7" w14:textId="77777777" w:rsidR="00087872" w:rsidRDefault="00256B13">
      <w:pPr>
        <w:spacing w:after="0"/>
      </w:pPr>
      <w:r>
        <w:rPr>
          <w:rFonts w:eastAsia="Times New Roman"/>
          <w:sz w:val="22"/>
          <w:szCs w:val="22"/>
        </w:rPr>
        <w:t>3.</w:t>
      </w:r>
      <w:r>
        <w:rPr>
          <w:rFonts w:eastAsia="Times New Roman"/>
          <w:sz w:val="22"/>
          <w:szCs w:val="22"/>
        </w:rPr>
        <w:tab/>
        <w:t>Uzraudzības departaments.</w:t>
      </w:r>
    </w:p>
    <w:p w14:paraId="0A78B461" w14:textId="77777777" w:rsidR="00087872" w:rsidRDefault="00256B13">
      <w:pPr>
        <w:spacing w:after="0"/>
      </w:pPr>
      <w:r>
        <w:rPr>
          <w:rFonts w:eastAsia="Times New Roman"/>
          <w:sz w:val="22"/>
          <w:szCs w:val="22"/>
        </w:rPr>
        <w:t>4.</w:t>
      </w:r>
      <w:r>
        <w:rPr>
          <w:rFonts w:eastAsia="Times New Roman"/>
          <w:sz w:val="22"/>
          <w:szCs w:val="22"/>
        </w:rPr>
        <w:tab/>
        <w:t>Administratīvā daļa.</w:t>
      </w:r>
    </w:p>
    <w:p w14:paraId="53AC9579" w14:textId="77777777" w:rsidR="00087872" w:rsidRDefault="00256B13">
      <w:pPr>
        <w:spacing w:after="0"/>
      </w:pPr>
      <w:r>
        <w:rPr>
          <w:rFonts w:eastAsia="Times New Roman"/>
          <w:sz w:val="22"/>
          <w:szCs w:val="22"/>
        </w:rPr>
        <w:t>5.</w:t>
      </w:r>
      <w:r>
        <w:rPr>
          <w:rFonts w:eastAsia="Times New Roman"/>
          <w:sz w:val="22"/>
          <w:szCs w:val="22"/>
        </w:rPr>
        <w:tab/>
        <w:t>Projekta SAM 8.3.4. departaments.</w:t>
      </w:r>
    </w:p>
    <w:p w14:paraId="1EEF318E" w14:textId="77777777" w:rsidR="00087872" w:rsidRDefault="00087872">
      <w:pPr>
        <w:contextualSpacing/>
        <w:jc w:val="right"/>
        <w:rPr>
          <w:rFonts w:eastAsia="Times New Roman"/>
          <w:sz w:val="22"/>
          <w:szCs w:val="22"/>
        </w:rPr>
      </w:pPr>
    </w:p>
    <w:p w14:paraId="594CCBF5" w14:textId="77777777" w:rsidR="00087872" w:rsidRDefault="00256B13">
      <w:pPr>
        <w:contextualSpacing/>
        <w:jc w:val="right"/>
      </w:pPr>
      <w:r>
        <w:rPr>
          <w:rFonts w:eastAsia="Times New Roman"/>
          <w:sz w:val="22"/>
          <w:szCs w:val="22"/>
        </w:rPr>
        <w:t>9. attēls</w:t>
      </w:r>
    </w:p>
    <w:p w14:paraId="723958C2" w14:textId="77777777" w:rsidR="00087872" w:rsidRDefault="00256B13">
      <w:r>
        <w:rPr>
          <w:noProof/>
        </w:rPr>
        <w:drawing>
          <wp:inline distT="0" distB="0" distL="0" distR="0" wp14:anchorId="282489C7" wp14:editId="1CC64F1E">
            <wp:extent cx="5939790" cy="2463800"/>
            <wp:effectExtent l="0" t="0" r="0" b="0"/>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23"/>
                    <a:stretch>
                      <a:fillRect/>
                    </a:stretch>
                  </pic:blipFill>
                  <pic:spPr bwMode="auto">
                    <a:xfrm>
                      <a:off x="0" y="0"/>
                      <a:ext cx="5939790" cy="2463800"/>
                    </a:xfrm>
                    <a:prstGeom prst="rect">
                      <a:avLst/>
                    </a:prstGeom>
                  </pic:spPr>
                </pic:pic>
              </a:graphicData>
            </a:graphic>
          </wp:inline>
        </w:drawing>
      </w:r>
    </w:p>
    <w:p w14:paraId="1D0EF3C1" w14:textId="77777777" w:rsidR="00087872" w:rsidRDefault="00256B13">
      <w:pPr>
        <w:rPr>
          <w:rFonts w:eastAsia="Times New Roman"/>
          <w:sz w:val="22"/>
          <w:szCs w:val="22"/>
        </w:rPr>
      </w:pPr>
      <w:r>
        <w:br w:type="page"/>
      </w:r>
    </w:p>
    <w:p w14:paraId="61A9EE88" w14:textId="77777777" w:rsidR="00087872" w:rsidRDefault="00256B13">
      <w:pPr>
        <w:pStyle w:val="Virsraksts11"/>
      </w:pPr>
      <w:bookmarkStart w:id="74" w:name="_Toc456012555"/>
      <w:bookmarkStart w:id="75" w:name="_Toc456012655"/>
      <w:bookmarkStart w:id="76" w:name="_Toc139120238"/>
      <w:r>
        <w:t>III. PERSONĀLS</w:t>
      </w:r>
      <w:bookmarkEnd w:id="74"/>
      <w:bookmarkEnd w:id="75"/>
      <w:bookmarkEnd w:id="76"/>
    </w:p>
    <w:p w14:paraId="4F30B2D1" w14:textId="77777777" w:rsidR="00087872" w:rsidRDefault="00256B13">
      <w:pPr>
        <w:pStyle w:val="Virsraksts21"/>
      </w:pPr>
      <w:bookmarkStart w:id="77" w:name="_Toc456012556"/>
      <w:bookmarkStart w:id="78" w:name="_Toc456012656"/>
      <w:bookmarkStart w:id="79" w:name="_Toc139120239"/>
      <w:r>
        <w:t xml:space="preserve">3.1. Amata vietas un </w:t>
      </w:r>
      <w:r>
        <w:t>nodarbināto skaits un sastāvs</w:t>
      </w:r>
      <w:bookmarkEnd w:id="77"/>
      <w:bookmarkEnd w:id="78"/>
      <w:bookmarkEnd w:id="79"/>
    </w:p>
    <w:p w14:paraId="1A48ECD8" w14:textId="77777777" w:rsidR="00087872" w:rsidRDefault="00256B13">
      <w:r>
        <w:rPr>
          <w:sz w:val="22"/>
          <w:szCs w:val="22"/>
        </w:rPr>
        <w:t>Atbilstoši 2022. gada 3. janvārī apstiprinātajam amata vietu sarakstam, kvalitātes dienestā bija 115 amata vietas, t.sk. 33 ierēdņa amata vietas un 82 darbinieka amata vieta. Projekta SAM 8.3.4. departamentā bija 45 darbinieku</w:t>
      </w:r>
      <w:r>
        <w:rPr>
          <w:sz w:val="22"/>
          <w:szCs w:val="22"/>
        </w:rPr>
        <w:t xml:space="preserve"> amata vietas. </w:t>
      </w:r>
    </w:p>
    <w:p w14:paraId="7AB2EA0A" w14:textId="77777777" w:rsidR="00087872" w:rsidRDefault="00256B13">
      <w:r>
        <w:rPr>
          <w:sz w:val="22"/>
          <w:szCs w:val="22"/>
        </w:rPr>
        <w:t>2022. gada 31. decembrī kvalitātes dienestā strādāja 82 nodarbinātie (t.sk. 23 ierēdņi, 59 darbinieki), no tiem – 67 sievietes (3 – bērnu kopšanas atvaļinājumā) un 15 vīrieši).</w:t>
      </w:r>
    </w:p>
    <w:p w14:paraId="3CC97E17" w14:textId="77777777" w:rsidR="00087872" w:rsidRDefault="00256B13">
      <w:r>
        <w:rPr>
          <w:sz w:val="22"/>
          <w:szCs w:val="22"/>
        </w:rPr>
        <w:t>2022. gada 31. decembrī visvairāk nodarbināto – 25 bija – vecum</w:t>
      </w:r>
      <w:r>
        <w:rPr>
          <w:sz w:val="22"/>
          <w:szCs w:val="22"/>
        </w:rPr>
        <w:t xml:space="preserve">ā no 50 līdz 59 gadiem, 22 –  vecumā no 40 līdz 49 gadiem, 17 – vecumā no 30 līdz 39 gadiem, 15 – vecumā virs 60 gadiem un 3 vecumā no 21 līdz 30 gadiem. </w:t>
      </w:r>
    </w:p>
    <w:p w14:paraId="18F706F5" w14:textId="77777777" w:rsidR="00087872" w:rsidRDefault="00256B13">
      <w:pPr>
        <w:pStyle w:val="Pamatteksts"/>
        <w:spacing w:after="0" w:line="240" w:lineRule="auto"/>
        <w:contextualSpacing/>
      </w:pPr>
      <w:r>
        <w:t>Personāla izglītība 2022. gada 31. decembrī (skat. 10. attēlu):</w:t>
      </w:r>
    </w:p>
    <w:p w14:paraId="57D2AD3C" w14:textId="77777777" w:rsidR="00087872" w:rsidRDefault="00256B13">
      <w:pPr>
        <w:numPr>
          <w:ilvl w:val="0"/>
          <w:numId w:val="9"/>
        </w:numPr>
        <w:spacing w:after="0" w:line="240" w:lineRule="auto"/>
      </w:pPr>
      <w:r>
        <w:t xml:space="preserve">6 nodarbinātie ar doktora </w:t>
      </w:r>
      <w:r>
        <w:t>grādu;</w:t>
      </w:r>
    </w:p>
    <w:p w14:paraId="484CB488" w14:textId="77777777" w:rsidR="00087872" w:rsidRDefault="00256B13">
      <w:pPr>
        <w:numPr>
          <w:ilvl w:val="0"/>
          <w:numId w:val="9"/>
        </w:numPr>
        <w:spacing w:after="0" w:line="240" w:lineRule="auto"/>
      </w:pPr>
      <w:r>
        <w:t xml:space="preserve">53 nodarbinātie ar maģistra grādu (21 no tiem – profesionālais maģistra grāds); </w:t>
      </w:r>
    </w:p>
    <w:p w14:paraId="41B6A829" w14:textId="77777777" w:rsidR="00087872" w:rsidRDefault="00256B13">
      <w:pPr>
        <w:numPr>
          <w:ilvl w:val="0"/>
          <w:numId w:val="9"/>
        </w:numPr>
        <w:spacing w:after="0" w:line="240" w:lineRule="auto"/>
      </w:pPr>
      <w:r>
        <w:t>11 nodarbinātie ar bakalaura grādu (2 no tiem – profesionālais bakalaura grāds);</w:t>
      </w:r>
    </w:p>
    <w:p w14:paraId="175E162C" w14:textId="77777777" w:rsidR="00087872" w:rsidRDefault="00256B13">
      <w:pPr>
        <w:numPr>
          <w:ilvl w:val="0"/>
          <w:numId w:val="9"/>
        </w:numPr>
        <w:spacing w:after="0" w:line="240" w:lineRule="auto"/>
      </w:pPr>
      <w:r>
        <w:t>9 nodarbinātie ar augstāko izglītību;</w:t>
      </w:r>
    </w:p>
    <w:p w14:paraId="0F855155" w14:textId="77777777" w:rsidR="00087872" w:rsidRDefault="00256B13">
      <w:pPr>
        <w:numPr>
          <w:ilvl w:val="0"/>
          <w:numId w:val="9"/>
        </w:numPr>
        <w:spacing w:after="0" w:line="240" w:lineRule="auto"/>
      </w:pPr>
      <w:r>
        <w:t>2 nodarbinātais ar profesionālo vidējo izglītību;</w:t>
      </w:r>
    </w:p>
    <w:p w14:paraId="088DD7F7" w14:textId="77777777" w:rsidR="00087872" w:rsidRDefault="00256B13">
      <w:pPr>
        <w:numPr>
          <w:ilvl w:val="0"/>
          <w:numId w:val="9"/>
        </w:numPr>
        <w:spacing w:after="0" w:line="240" w:lineRule="auto"/>
      </w:pPr>
      <w:r>
        <w:t>1 nodarbinātais ar vidējo izglītību.</w:t>
      </w:r>
    </w:p>
    <w:p w14:paraId="44A2C70B" w14:textId="77777777" w:rsidR="00087872" w:rsidRDefault="00256B13">
      <w:pPr>
        <w:pStyle w:val="Pamatteksts"/>
        <w:spacing w:line="240" w:lineRule="auto"/>
        <w:ind w:left="720"/>
        <w:jc w:val="right"/>
      </w:pPr>
      <w:r>
        <w:rPr>
          <w:i/>
          <w:iCs/>
        </w:rPr>
        <w:t>10. attēls</w:t>
      </w:r>
    </w:p>
    <w:p w14:paraId="33BAC032" w14:textId="77777777" w:rsidR="00087872" w:rsidRDefault="00256B13">
      <w:pPr>
        <w:pStyle w:val="Pamatteksts"/>
        <w:spacing w:line="240" w:lineRule="auto"/>
        <w:ind w:left="720"/>
        <w:jc w:val="center"/>
      </w:pPr>
      <w:r>
        <w:rPr>
          <w:i/>
          <w:iCs/>
        </w:rPr>
        <w:t>Kvalitātes dienesta personāla izglītības līmenis, 2022. gads</w:t>
      </w:r>
    </w:p>
    <w:p w14:paraId="1E6C17C8" w14:textId="77777777" w:rsidR="00087872" w:rsidRDefault="00256B13">
      <w:pPr>
        <w:pStyle w:val="Pamatteksts"/>
        <w:spacing w:line="240" w:lineRule="auto"/>
        <w:ind w:left="720"/>
        <w:jc w:val="center"/>
      </w:pPr>
      <w:r>
        <w:rPr>
          <w:noProof/>
        </w:rPr>
        <w:drawing>
          <wp:inline distT="0" distB="0" distL="0" distR="0" wp14:anchorId="7ED5F1BC" wp14:editId="70A7B035">
            <wp:extent cx="4572000" cy="2743200"/>
            <wp:effectExtent l="0" t="0" r="0" b="0"/>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D9106D" w14:textId="77777777" w:rsidR="00087872" w:rsidRDefault="00256B13">
      <w:pPr>
        <w:pStyle w:val="Pamatteksts"/>
        <w:spacing w:line="240" w:lineRule="auto"/>
      </w:pPr>
      <w:r>
        <w:t xml:space="preserve">Kvalitātes dienesta personāls nemitīgi pilnveidojas un paaugstina savu izglītības līmeni un profesionālo kvalifikāciju, apgūstot jaunas prasmes </w:t>
      </w:r>
      <w:r>
        <w:t>un pilnveidojot sevi atbilstoši mūsdienu darba tirgus tendencēm.</w:t>
      </w:r>
    </w:p>
    <w:p w14:paraId="2957E4FD" w14:textId="77777777" w:rsidR="00087872" w:rsidRDefault="00087872">
      <w:pPr>
        <w:pStyle w:val="Virsraksts21"/>
      </w:pPr>
    </w:p>
    <w:p w14:paraId="2BF88B03" w14:textId="77777777" w:rsidR="00087872" w:rsidRDefault="00256B13">
      <w:pPr>
        <w:pStyle w:val="Virsraksts21"/>
      </w:pPr>
      <w:bookmarkStart w:id="80" w:name="_Toc456012557"/>
      <w:bookmarkStart w:id="81" w:name="_Toc456012657"/>
      <w:bookmarkStart w:id="82" w:name="_Toc139120240"/>
      <w:r>
        <w:t>3.2. Personāla kustība</w:t>
      </w:r>
      <w:bookmarkEnd w:id="80"/>
      <w:bookmarkEnd w:id="81"/>
      <w:r>
        <w:t xml:space="preserve"> un profesionālā pilnveide</w:t>
      </w:r>
      <w:bookmarkEnd w:id="82"/>
    </w:p>
    <w:p w14:paraId="78F9C867" w14:textId="77777777" w:rsidR="00087872" w:rsidRDefault="00256B13">
      <w:r>
        <w:rPr>
          <w:sz w:val="22"/>
          <w:szCs w:val="22"/>
        </w:rPr>
        <w:t xml:space="preserve">Kvalitātes dienests 2022. gadā izsludināja un organizēja 2 amatu konkursu uz kvalitātes dienesta Administratīvās daļas dokumentu pārvaldības </w:t>
      </w:r>
      <w:r>
        <w:rPr>
          <w:sz w:val="22"/>
          <w:szCs w:val="22"/>
        </w:rPr>
        <w:t>speciālista vakantā darbinieka amata vietu un kvalitātes dienesta Kvalitātes nodrošināšanas departamenta vecākā eksperta ierēdņa amata vietu. Uz izsludinātajiem konkursiem pieteicās 16 pretendenti. Abi konkursi beidzās ar pozitīvu rezultātu.</w:t>
      </w:r>
    </w:p>
    <w:p w14:paraId="218A2137" w14:textId="77777777" w:rsidR="00087872" w:rsidRDefault="00256B13">
      <w:r>
        <w:rPr>
          <w:sz w:val="22"/>
          <w:szCs w:val="22"/>
        </w:rPr>
        <w:t>2022. gadā dar</w:t>
      </w:r>
      <w:r>
        <w:rPr>
          <w:sz w:val="22"/>
          <w:szCs w:val="22"/>
        </w:rPr>
        <w:t>binieka amata pienākumus kvalitātes dienestā sāka pildīt 4 nodarbinātie. Valsts civildienesta attiecības 2022. gadā izbeidza 2 ierēdņi. Darba tiesiskās attiecības izbeigtas ar 11 darbiniekiem. Viens no atbrīvotajiem kvalitātes dienestā bija nostrādājis maz</w:t>
      </w:r>
      <w:r>
        <w:rPr>
          <w:sz w:val="22"/>
          <w:szCs w:val="22"/>
        </w:rPr>
        <w:t>āk par 1 gadu.</w:t>
      </w:r>
    </w:p>
    <w:p w14:paraId="4B28EFF4" w14:textId="77777777" w:rsidR="00087872" w:rsidRDefault="00256B13">
      <w:r>
        <w:rPr>
          <w:sz w:val="22"/>
          <w:szCs w:val="22"/>
        </w:rPr>
        <w:t>Kvalitātes dienestā nodarbināto darba izpildes novērtēšana tiek veikta e-vidē – valsts informācijas sistēmā „Novērtēšanas elektroniskās veidlapas informācijas sistēma” (NEVIS). Darba izpildes ikgadējā novērtēšana par 01.01.2022. – 31.12.2022</w:t>
      </w:r>
      <w:r>
        <w:rPr>
          <w:sz w:val="22"/>
          <w:szCs w:val="22"/>
        </w:rPr>
        <w:t>.gada periodu tika veikta 44 nodarbinātajiem. 39% nodarbinātie saņēma vērtējumu „teicami”, 59% – „ļoti labi” un 2% – “labi”. Pirms pārbaudes laika tika novērtēti 5 nodarbinātie – vērtējums – ļoti labi. Projekta SAM 8.3.4. departamentā kopumā novērtēti 27 d</w:t>
      </w:r>
      <w:r>
        <w:rPr>
          <w:sz w:val="22"/>
          <w:szCs w:val="22"/>
        </w:rPr>
        <w:t>arbinieki: 15 darbinieki saņēma novērtējumu “</w:t>
      </w:r>
      <w:r>
        <w:rPr>
          <w:sz w:val="22"/>
          <w:szCs w:val="22"/>
        </w:rPr>
        <w:t>t</w:t>
      </w:r>
      <w:r>
        <w:rPr>
          <w:sz w:val="22"/>
          <w:szCs w:val="22"/>
        </w:rPr>
        <w:t xml:space="preserve">eicami”, 11 darbinieki – “ļoti labi”, 1 – “labi”. </w:t>
      </w:r>
    </w:p>
    <w:p w14:paraId="7C8A4D96" w14:textId="77777777" w:rsidR="00087872" w:rsidRDefault="00256B13">
      <w:r>
        <w:rPr>
          <w:sz w:val="22"/>
          <w:szCs w:val="22"/>
        </w:rPr>
        <w:t>Daļa nodarbināto ir iesaistīti kvalitātes dienestam uzticēto ESF projektu aktivitāšu īstenošanā: SAM8.5.2. projektā Nr. 8.5.2.0./16/I/001 ”Nozaru kvalifikācija</w:t>
      </w:r>
      <w:r>
        <w:rPr>
          <w:sz w:val="22"/>
          <w:szCs w:val="22"/>
        </w:rPr>
        <w:t>s sistēmas pilnveide profesionālās izglītības attīstībai un kvalitātes nodrošināšanai”, SAM8.3.4. projektā Nr.8.3.4.0/16/I/001 “Atbalsts priekšlaicīgas mācību pārtraukšanas samazināšanai”, darbības programmas “Izaugsme un nodarbinātība” 8.3.6. specifiskā a</w:t>
      </w:r>
      <w:r>
        <w:rPr>
          <w:sz w:val="22"/>
          <w:szCs w:val="22"/>
        </w:rPr>
        <w:t xml:space="preserve">tbalsta mērķa "Ieviest izglītības kvalitātes monitoringa sistēmu" 8.3.6.2. pasākuma “Izglītības kvalitātes monitoringa sistēmas izveide” projektā “Izglītības kvalitātes monitoringa sistēmas izveide un īstenošana”, kā arī </w:t>
      </w:r>
      <w:proofErr w:type="spellStart"/>
      <w:r>
        <w:rPr>
          <w:sz w:val="22"/>
          <w:szCs w:val="22"/>
        </w:rPr>
        <w:t>Erasmus</w:t>
      </w:r>
      <w:proofErr w:type="spellEnd"/>
      <w:r>
        <w:rPr>
          <w:sz w:val="22"/>
          <w:szCs w:val="22"/>
        </w:rPr>
        <w:t xml:space="preserve">+ projektā </w:t>
      </w:r>
      <w:proofErr w:type="spellStart"/>
      <w:r>
        <w:rPr>
          <w:sz w:val="22"/>
          <w:szCs w:val="22"/>
        </w:rPr>
        <w:t>Support</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Eu</w:t>
      </w:r>
      <w:r>
        <w:rPr>
          <w:sz w:val="22"/>
          <w:szCs w:val="22"/>
        </w:rPr>
        <w:t>ropean</w:t>
      </w:r>
      <w:proofErr w:type="spellEnd"/>
      <w:r>
        <w:rPr>
          <w:sz w:val="22"/>
          <w:szCs w:val="22"/>
        </w:rPr>
        <w:t xml:space="preserve"> </w:t>
      </w:r>
      <w:proofErr w:type="spellStart"/>
      <w:r>
        <w:rPr>
          <w:sz w:val="22"/>
          <w:szCs w:val="22"/>
        </w:rPr>
        <w:t>Quality</w:t>
      </w:r>
      <w:proofErr w:type="spellEnd"/>
      <w:r>
        <w:rPr>
          <w:sz w:val="22"/>
          <w:szCs w:val="22"/>
        </w:rPr>
        <w:t xml:space="preserve"> </w:t>
      </w:r>
      <w:proofErr w:type="spellStart"/>
      <w:r>
        <w:rPr>
          <w:sz w:val="22"/>
          <w:szCs w:val="22"/>
        </w:rPr>
        <w:t>Assurance</w:t>
      </w:r>
      <w:proofErr w:type="spellEnd"/>
      <w:r>
        <w:rPr>
          <w:sz w:val="22"/>
          <w:szCs w:val="22"/>
        </w:rPr>
        <w:t xml:space="preserve"> </w:t>
      </w:r>
      <w:proofErr w:type="spellStart"/>
      <w:r>
        <w:rPr>
          <w:sz w:val="22"/>
          <w:szCs w:val="22"/>
        </w:rPr>
        <w:t>in</w:t>
      </w:r>
      <w:proofErr w:type="spellEnd"/>
      <w:r>
        <w:rPr>
          <w:sz w:val="22"/>
          <w:szCs w:val="22"/>
        </w:rPr>
        <w:t xml:space="preserve"> </w:t>
      </w:r>
      <w:proofErr w:type="spellStart"/>
      <w:r>
        <w:rPr>
          <w:sz w:val="22"/>
          <w:szCs w:val="22"/>
        </w:rPr>
        <w:t>Vocational</w:t>
      </w:r>
      <w:proofErr w:type="spellEnd"/>
      <w:r>
        <w:rPr>
          <w:sz w:val="22"/>
          <w:szCs w:val="22"/>
        </w:rPr>
        <w:t xml:space="preserve"> </w:t>
      </w:r>
      <w:proofErr w:type="spellStart"/>
      <w:r>
        <w:rPr>
          <w:sz w:val="22"/>
          <w:szCs w:val="22"/>
        </w:rPr>
        <w:t>Education</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Training</w:t>
      </w:r>
      <w:proofErr w:type="spellEnd"/>
      <w:r>
        <w:rPr>
          <w:sz w:val="22"/>
          <w:szCs w:val="22"/>
        </w:rPr>
        <w:t xml:space="preserve"> National Reference </w:t>
      </w:r>
      <w:proofErr w:type="spellStart"/>
      <w:r>
        <w:rPr>
          <w:sz w:val="22"/>
          <w:szCs w:val="22"/>
        </w:rPr>
        <w:t>Points</w:t>
      </w:r>
      <w:proofErr w:type="spellEnd"/>
      <w:r>
        <w:rPr>
          <w:sz w:val="22"/>
          <w:szCs w:val="22"/>
        </w:rPr>
        <w:t>” Nr.609116 - EPP-1-2019-1-LV-EPPKA3-EQAVET-NRP" un darbības programmas “Izaugsme un nodarbinātība” 7.1.1. specifiskā atbalsta mērķa “Paaugstināt bezdarbnieku kvalifikāc</w:t>
      </w:r>
      <w:r>
        <w:rPr>
          <w:sz w:val="22"/>
          <w:szCs w:val="22"/>
        </w:rPr>
        <w:t>iju un prasmes atbilstoši darba tirgus pieprasījumam” ESF projektā “Atbalsts bezdarbnieku izglītībai” Nr.7.1.1.0/15/I/001.</w:t>
      </w:r>
    </w:p>
    <w:p w14:paraId="60CF6D8C" w14:textId="77777777" w:rsidR="00087872" w:rsidRDefault="00256B13">
      <w:r>
        <w:rPr>
          <w:sz w:val="22"/>
          <w:szCs w:val="22"/>
        </w:rPr>
        <w:t>Nodarbinātie savas profesionālās zināšanas un prasmes pilnveido pašmācības ceļā, studējot speciāli atlasītu literatūru, lasot izdevum</w:t>
      </w:r>
      <w:r>
        <w:rPr>
          <w:sz w:val="22"/>
          <w:szCs w:val="22"/>
        </w:rPr>
        <w:t>us “Jurista vārds”, “Skolas vārds”, “Izglītība un Kultūra”, Latvijas Vēstneša portālu “Par Likumu un Valsti”, portālu “</w:t>
      </w:r>
      <w:proofErr w:type="spellStart"/>
      <w:r>
        <w:rPr>
          <w:sz w:val="22"/>
          <w:szCs w:val="22"/>
        </w:rPr>
        <w:t>Visma</w:t>
      </w:r>
      <w:proofErr w:type="spellEnd"/>
      <w:r>
        <w:rPr>
          <w:sz w:val="22"/>
          <w:szCs w:val="22"/>
        </w:rPr>
        <w:t xml:space="preserve"> </w:t>
      </w:r>
      <w:proofErr w:type="spellStart"/>
      <w:r>
        <w:rPr>
          <w:sz w:val="22"/>
          <w:szCs w:val="22"/>
        </w:rPr>
        <w:t>Community</w:t>
      </w:r>
      <w:proofErr w:type="spellEnd"/>
      <w:r>
        <w:rPr>
          <w:sz w:val="22"/>
          <w:szCs w:val="22"/>
        </w:rPr>
        <w:t>”, gatavojot referātus un prezentācijas, vadot darba grupas, iepazīstoties ar aktualitātēm atbilstošās tīmekļvietnēs, pārņ</w:t>
      </w:r>
      <w:r>
        <w:rPr>
          <w:sz w:val="22"/>
          <w:szCs w:val="22"/>
        </w:rPr>
        <w:t xml:space="preserve">emot labāku praksi, lai attīstītu un pilnveidotu savas profesionālās zināšanas un prasmes, darba uzdevumu izpildes efektivitātes celšanā, </w:t>
      </w:r>
      <w:proofErr w:type="spellStart"/>
      <w:r>
        <w:rPr>
          <w:sz w:val="22"/>
          <w:szCs w:val="22"/>
        </w:rPr>
        <w:t>problēmsituāciju</w:t>
      </w:r>
      <w:proofErr w:type="spellEnd"/>
      <w:r>
        <w:rPr>
          <w:sz w:val="22"/>
          <w:szCs w:val="22"/>
        </w:rPr>
        <w:t xml:space="preserve"> risināšanā, projektu īstenošanas darbā, t.sk. projektu finanšu vadības jomā, kā arī dažādu ar darba p</w:t>
      </w:r>
      <w:r>
        <w:rPr>
          <w:sz w:val="22"/>
          <w:szCs w:val="22"/>
        </w:rPr>
        <w:t>rocesiem saistītu datorsistēmu lietošanas prasmju uzlabošanā.</w:t>
      </w:r>
    </w:p>
    <w:p w14:paraId="10AA9005" w14:textId="77777777" w:rsidR="00087872" w:rsidRDefault="00256B13">
      <w:r>
        <w:rPr>
          <w:sz w:val="22"/>
          <w:szCs w:val="22"/>
        </w:rPr>
        <w:t>Kvalitātes dienesta darbinieki nodrošināja dalību konferencē Erasmus+K3 projekta "</w:t>
      </w:r>
      <w:proofErr w:type="spellStart"/>
      <w:r>
        <w:rPr>
          <w:sz w:val="22"/>
          <w:szCs w:val="22"/>
        </w:rPr>
        <w:t>MyHUB</w:t>
      </w:r>
      <w:proofErr w:type="spellEnd"/>
      <w:r>
        <w:rPr>
          <w:sz w:val="22"/>
          <w:szCs w:val="22"/>
        </w:rPr>
        <w:t xml:space="preserve"> - tiešsaistes repozitorijos iekļaujošām labajām praksēm, resursiem, metodikām izglītības jomas darbiniekie</w:t>
      </w:r>
      <w:r>
        <w:rPr>
          <w:sz w:val="22"/>
          <w:szCs w:val="22"/>
        </w:rPr>
        <w:t xml:space="preserve">m formālajā un neformālajā izglītībā“. Atsevišķi nodarbinātie tiešsaistes mācībās apguva profesionālās kvalifikācijas pilnveides programmas un semināri “Digitālā </w:t>
      </w:r>
      <w:proofErr w:type="spellStart"/>
      <w:r>
        <w:rPr>
          <w:sz w:val="22"/>
          <w:szCs w:val="22"/>
        </w:rPr>
        <w:t>pratība</w:t>
      </w:r>
      <w:proofErr w:type="spellEnd"/>
      <w:r>
        <w:rPr>
          <w:sz w:val="22"/>
          <w:szCs w:val="22"/>
        </w:rPr>
        <w:t xml:space="preserve"> un iespējas izmantojot interneta bezmaksas resursus”, “Par pedagogu psihiskās veselība</w:t>
      </w:r>
      <w:r>
        <w:rPr>
          <w:sz w:val="22"/>
          <w:szCs w:val="22"/>
        </w:rPr>
        <w:t>s veicināšanas un konfliktsituāciju ar izglītojamiem un viņu vecākiem”, “</w:t>
      </w:r>
      <w:proofErr w:type="spellStart"/>
      <w:r>
        <w:rPr>
          <w:sz w:val="22"/>
          <w:szCs w:val="22"/>
        </w:rPr>
        <w:t>Veselībpratība</w:t>
      </w:r>
      <w:proofErr w:type="spellEnd"/>
      <w:r>
        <w:rPr>
          <w:sz w:val="22"/>
          <w:szCs w:val="22"/>
        </w:rPr>
        <w:t xml:space="preserve"> dažādos izglītojamo vecumposmos”, “</w:t>
      </w:r>
      <w:proofErr w:type="spellStart"/>
      <w:r>
        <w:rPr>
          <w:sz w:val="22"/>
          <w:szCs w:val="22"/>
        </w:rPr>
        <w:t>Medijpratība</w:t>
      </w:r>
      <w:proofErr w:type="spellEnd"/>
      <w:r>
        <w:rPr>
          <w:sz w:val="22"/>
          <w:szCs w:val="22"/>
        </w:rPr>
        <w:t xml:space="preserve"> un </w:t>
      </w:r>
      <w:proofErr w:type="spellStart"/>
      <w:r>
        <w:rPr>
          <w:sz w:val="22"/>
          <w:szCs w:val="22"/>
        </w:rPr>
        <w:t>informācijpratība</w:t>
      </w:r>
      <w:proofErr w:type="spellEnd"/>
      <w:r>
        <w:rPr>
          <w:sz w:val="22"/>
          <w:szCs w:val="22"/>
        </w:rPr>
        <w:t xml:space="preserve"> pedagogiem”, “Dokumentu un arhīvu pārvaldība digitālajā vidē”, “Izglītības kvalitātes nodrošināšana</w:t>
      </w:r>
      <w:r>
        <w:rPr>
          <w:sz w:val="22"/>
          <w:szCs w:val="22"/>
        </w:rPr>
        <w:t xml:space="preserve"> izglītības iestādē”. “Draudzīga IT drošība – 2022”, “Kompetenču pieeja mācību saturā”, “Virzība. Sadarbība. Atbalsts. Lietpratībai”, </w:t>
      </w:r>
      <w:proofErr w:type="spellStart"/>
      <w:r>
        <w:rPr>
          <w:sz w:val="22"/>
          <w:szCs w:val="22"/>
        </w:rPr>
        <w:t>RigaTechGirl</w:t>
      </w:r>
      <w:proofErr w:type="spellEnd"/>
      <w:r>
        <w:rPr>
          <w:sz w:val="22"/>
          <w:szCs w:val="22"/>
        </w:rPr>
        <w:t xml:space="preserve"> mācību programmā “Iepazīsti tehnoloģijas”, piedalījās tiešsaistes konferencē “Izglītības kvalitātes monitorin</w:t>
      </w:r>
      <w:r>
        <w:rPr>
          <w:sz w:val="22"/>
          <w:szCs w:val="22"/>
        </w:rPr>
        <w:t xml:space="preserve">gs iekļaujošai izglītībai”. </w:t>
      </w:r>
    </w:p>
    <w:p w14:paraId="7A63C277" w14:textId="77777777" w:rsidR="00087872" w:rsidRDefault="00256B13">
      <w:pPr>
        <w:tabs>
          <w:tab w:val="left" w:pos="426"/>
        </w:tabs>
        <w:rPr>
          <w:sz w:val="22"/>
          <w:szCs w:val="22"/>
        </w:rPr>
      </w:pPr>
      <w:r>
        <w:br w:type="page"/>
      </w:r>
    </w:p>
    <w:p w14:paraId="60284757" w14:textId="77777777" w:rsidR="00087872" w:rsidRDefault="00256B13">
      <w:pPr>
        <w:pStyle w:val="Virsraksts11"/>
      </w:pPr>
      <w:bookmarkStart w:id="83" w:name="_Toc456012558"/>
      <w:bookmarkStart w:id="84" w:name="_Toc456012658"/>
      <w:bookmarkStart w:id="85" w:name="_Toc139120241"/>
      <w:r>
        <w:t>IV. KOMUNIKĀCIJA AR SABIEDRĪBU</w:t>
      </w:r>
      <w:bookmarkEnd w:id="83"/>
      <w:bookmarkEnd w:id="84"/>
      <w:bookmarkEnd w:id="85"/>
    </w:p>
    <w:p w14:paraId="0445B50B" w14:textId="77777777" w:rsidR="00087872" w:rsidRDefault="00256B13">
      <w:r>
        <w:rPr>
          <w:rFonts w:eastAsia="Times New Roman"/>
          <w:bCs/>
          <w:sz w:val="22"/>
          <w:szCs w:val="22"/>
        </w:rPr>
        <w:t>Kvalitātes dienesta komunikācija ar mērķauditorijām un plašsaziņas līdzekļiem ir regulāra un aktīva. Tiek sniegtas ikdienas konsultācijas pedagogiem, skolēniem, audzēkņiem, studentiem, izglītība</w:t>
      </w:r>
      <w:r>
        <w:rPr>
          <w:rFonts w:eastAsia="Times New Roman"/>
          <w:bCs/>
          <w:sz w:val="22"/>
          <w:szCs w:val="22"/>
        </w:rPr>
        <w:t>s iestāžu vadītājiem, pašvaldību un valsts iestāžu pārstāvjiem. Mērķauditorijas tiek aicinātas uz kvalitātes dienesta rīkotajiem kursiem, kvalitātes dienesta tīmekļvietnē tiek publicēti aktuālie metodiskie materiāli dažādām mērķauditorijām, regulāri tiek a</w:t>
      </w:r>
      <w:r>
        <w:rPr>
          <w:rFonts w:eastAsia="Times New Roman"/>
          <w:bCs/>
          <w:sz w:val="22"/>
          <w:szCs w:val="22"/>
        </w:rPr>
        <w:t>ktualizēta informācija kvalitātes dienesta tīmekļvietnē un sociālajos tīklos, sniedzot informāciju par sagatavotiem vai apstiprinātiem normatīvo aktu projektiem, plānotām izmaiņām kvalitātes dienesta procedūrās, skaidrojot sabiedrībai aktuālus izglītības t</w:t>
      </w:r>
      <w:r>
        <w:rPr>
          <w:rFonts w:eastAsia="Times New Roman"/>
          <w:bCs/>
          <w:sz w:val="22"/>
          <w:szCs w:val="22"/>
        </w:rPr>
        <w:t xml:space="preserve">iesiskuma un kvalitātes jautājumus. Par galvenajām aktualitātēm informācija tiek ievietota arī kvalitātes dienesta </w:t>
      </w:r>
      <w:proofErr w:type="spellStart"/>
      <w:r>
        <w:rPr>
          <w:rFonts w:eastAsia="Times New Roman"/>
          <w:bCs/>
          <w:i/>
          <w:sz w:val="22"/>
          <w:szCs w:val="22"/>
        </w:rPr>
        <w:t>Facebook</w:t>
      </w:r>
      <w:proofErr w:type="spellEnd"/>
      <w:r>
        <w:rPr>
          <w:rFonts w:eastAsia="Times New Roman"/>
          <w:bCs/>
          <w:sz w:val="22"/>
          <w:szCs w:val="22"/>
        </w:rPr>
        <w:t xml:space="preserve"> kontā. Kvalitātes dienesta komunikācijas aktivitātes notiek sadarbībā ar IZM un VISC, tostarp iekļaujoties Valsts kancelejas koordin</w:t>
      </w:r>
      <w:r>
        <w:rPr>
          <w:rFonts w:eastAsia="Times New Roman"/>
          <w:bCs/>
          <w:sz w:val="22"/>
          <w:szCs w:val="22"/>
        </w:rPr>
        <w:t>ētajā kopējā valsts pārvaldes komunikācijā.</w:t>
      </w:r>
    </w:p>
    <w:p w14:paraId="013F11B6" w14:textId="77777777" w:rsidR="00087872" w:rsidRDefault="00256B13">
      <w:r>
        <w:rPr>
          <w:rFonts w:eastAsia="Times New Roman"/>
          <w:bCs/>
          <w:sz w:val="22"/>
          <w:szCs w:val="22"/>
        </w:rPr>
        <w:t>Būtiska 2022. gada komunikācijas aktivitāšu daļa saistījās ar Covid-19 pandēmijas laikā noteiktajiem ierobežojumiem, attālināto mācību procesu, vakcināciju, testēšanu skolās. Savukārt, sākoties Krievijas pilna mē</w:t>
      </w:r>
      <w:r>
        <w:rPr>
          <w:rFonts w:eastAsia="Times New Roman"/>
          <w:bCs/>
          <w:sz w:val="22"/>
          <w:szCs w:val="22"/>
        </w:rPr>
        <w:t xml:space="preserve">roga iebrukumam Ukrainā, kvalitātes dienests aktīvi iesaistījās vienotajā valsts pārvaldes komunikācijā par Krievijas agresijas nepieļaujamību, Ukrainas tiesībām uz brīvību, Ukrainas civiliedzīvotāju izglītības iespējām Latvijā, kā arī audzināšanas, </w:t>
      </w:r>
      <w:proofErr w:type="spellStart"/>
      <w:r>
        <w:rPr>
          <w:rFonts w:eastAsia="Times New Roman"/>
          <w:bCs/>
          <w:sz w:val="22"/>
          <w:szCs w:val="22"/>
        </w:rPr>
        <w:t>vērtīb</w:t>
      </w:r>
      <w:r>
        <w:rPr>
          <w:rFonts w:eastAsia="Times New Roman"/>
          <w:bCs/>
          <w:sz w:val="22"/>
          <w:szCs w:val="22"/>
        </w:rPr>
        <w:t>izglītības</w:t>
      </w:r>
      <w:proofErr w:type="spellEnd"/>
      <w:r>
        <w:rPr>
          <w:rFonts w:eastAsia="Times New Roman"/>
          <w:bCs/>
          <w:sz w:val="22"/>
          <w:szCs w:val="22"/>
        </w:rPr>
        <w:t xml:space="preserve">, </w:t>
      </w:r>
      <w:proofErr w:type="spellStart"/>
      <w:r>
        <w:rPr>
          <w:rFonts w:eastAsia="Times New Roman"/>
          <w:bCs/>
          <w:sz w:val="22"/>
          <w:szCs w:val="22"/>
        </w:rPr>
        <w:t>medijpratības</w:t>
      </w:r>
      <w:proofErr w:type="spellEnd"/>
      <w:r>
        <w:rPr>
          <w:rFonts w:eastAsia="Times New Roman"/>
          <w:bCs/>
          <w:sz w:val="22"/>
          <w:szCs w:val="22"/>
        </w:rPr>
        <w:t xml:space="preserve"> jautājumiem Latvijas skolās. Kvalitātes dienests aicināja izglītības iestādes runāt ar izglītojamiem par karu, uzsverot </w:t>
      </w:r>
      <w:proofErr w:type="spellStart"/>
      <w:r>
        <w:rPr>
          <w:rFonts w:eastAsia="Times New Roman"/>
          <w:bCs/>
          <w:sz w:val="22"/>
          <w:szCs w:val="22"/>
        </w:rPr>
        <w:t>pamavērtības</w:t>
      </w:r>
      <w:proofErr w:type="spellEnd"/>
      <w:r>
        <w:rPr>
          <w:rFonts w:eastAsia="Times New Roman"/>
          <w:bCs/>
          <w:sz w:val="22"/>
          <w:szCs w:val="22"/>
        </w:rPr>
        <w:t xml:space="preserve"> un pilsonisko audzināšanu, kā arī ņemot vērā bērnu vecumposmu īpatnības. Kvalitātes dienesta vadī</w:t>
      </w:r>
      <w:r>
        <w:rPr>
          <w:rFonts w:eastAsia="Times New Roman"/>
          <w:bCs/>
          <w:sz w:val="22"/>
          <w:szCs w:val="22"/>
        </w:rPr>
        <w:t xml:space="preserve">tāja Inita Juhņēviča piedalījās IZM rīkotās “Emociju viesistabas” pārraidē par </w:t>
      </w:r>
      <w:proofErr w:type="spellStart"/>
      <w:r>
        <w:rPr>
          <w:rFonts w:eastAsia="Times New Roman"/>
          <w:bCs/>
          <w:sz w:val="22"/>
          <w:szCs w:val="22"/>
        </w:rPr>
        <w:t>mēdijpratības</w:t>
      </w:r>
      <w:proofErr w:type="spellEnd"/>
      <w:r>
        <w:rPr>
          <w:rFonts w:eastAsia="Times New Roman"/>
          <w:bCs/>
          <w:sz w:val="22"/>
          <w:szCs w:val="22"/>
        </w:rPr>
        <w:t xml:space="preserve"> un melu atpazīšanas tēmu. </w:t>
      </w:r>
    </w:p>
    <w:p w14:paraId="6B9714C2" w14:textId="77777777" w:rsidR="00087872" w:rsidRDefault="00256B13">
      <w:r>
        <w:rPr>
          <w:rFonts w:eastAsia="Times New Roman"/>
          <w:bCs/>
          <w:sz w:val="22"/>
          <w:szCs w:val="22"/>
        </w:rPr>
        <w:t xml:space="preserve">2022. gadā kvalitātes dienests publicēja 60 aktualitātes tīmekļvietnē, tostarp par projekta </w:t>
      </w:r>
      <w:proofErr w:type="spellStart"/>
      <w:r>
        <w:rPr>
          <w:rFonts w:eastAsia="Times New Roman"/>
          <w:bCs/>
          <w:sz w:val="22"/>
          <w:szCs w:val="22"/>
        </w:rPr>
        <w:t>PuMPuRS</w:t>
      </w:r>
      <w:proofErr w:type="spellEnd"/>
      <w:r>
        <w:rPr>
          <w:rFonts w:eastAsia="Times New Roman"/>
          <w:bCs/>
          <w:sz w:val="22"/>
          <w:szCs w:val="22"/>
        </w:rPr>
        <w:t xml:space="preserve"> darbību. Kvalitātes dienesta </w:t>
      </w:r>
      <w:r>
        <w:rPr>
          <w:rFonts w:eastAsia="Times New Roman"/>
          <w:bCs/>
          <w:sz w:val="22"/>
          <w:szCs w:val="22"/>
        </w:rPr>
        <w:t xml:space="preserve">viedoklis pārskata periodā regulāri atspoguļots plašsaziņas līdzekļos, t. sk. sniegti komentāri un gatavotas atbildes uz jautājumiem ziņu aģentūrai “LETA”, presei un interneta portāliem („Diena”, „Latvijas Avīze”, „Skolas Vārds”, „Kas Jauns”, “Delfi”, </w:t>
      </w:r>
      <w:proofErr w:type="spellStart"/>
      <w:r>
        <w:rPr>
          <w:rFonts w:eastAsia="Times New Roman"/>
          <w:bCs/>
          <w:sz w:val="22"/>
          <w:szCs w:val="22"/>
        </w:rPr>
        <w:t>LVpo</w:t>
      </w:r>
      <w:r>
        <w:rPr>
          <w:rFonts w:eastAsia="Times New Roman"/>
          <w:bCs/>
          <w:sz w:val="22"/>
          <w:szCs w:val="22"/>
        </w:rPr>
        <w:t>rtāls</w:t>
      </w:r>
      <w:proofErr w:type="spellEnd"/>
      <w:r>
        <w:rPr>
          <w:rFonts w:eastAsia="Times New Roman"/>
          <w:bCs/>
          <w:sz w:val="22"/>
          <w:szCs w:val="22"/>
        </w:rPr>
        <w:t xml:space="preserve"> u.c.), kvalitātes dienesta vadošās amatpersonas piedalījušās televīzijas un radio raidījumos (TV3 „Bez Tabu”, “Panorāma”, LR1 „Ziņas”, „Ģimenes studija”, LR4 ziņas).</w:t>
      </w:r>
    </w:p>
    <w:p w14:paraId="1E0445AC" w14:textId="77777777" w:rsidR="00087872" w:rsidRDefault="00256B13">
      <w:r>
        <w:rPr>
          <w:rFonts w:eastAsia="Times New Roman"/>
          <w:bCs/>
          <w:sz w:val="22"/>
          <w:szCs w:val="22"/>
        </w:rPr>
        <w:t xml:space="preserve">Projekta </w:t>
      </w:r>
      <w:proofErr w:type="spellStart"/>
      <w:r>
        <w:rPr>
          <w:rFonts w:eastAsia="Times New Roman"/>
          <w:bCs/>
          <w:sz w:val="22"/>
          <w:szCs w:val="22"/>
        </w:rPr>
        <w:t>PuMPuRS</w:t>
      </w:r>
      <w:proofErr w:type="spellEnd"/>
      <w:r>
        <w:rPr>
          <w:rFonts w:eastAsia="Times New Roman"/>
          <w:bCs/>
          <w:sz w:val="22"/>
          <w:szCs w:val="22"/>
        </w:rPr>
        <w:t xml:space="preserve"> ietvaros 2022. gadā turpinājās informatīvā kampaņa, lai pievērstu s</w:t>
      </w:r>
      <w:r>
        <w:rPr>
          <w:rFonts w:eastAsia="Times New Roman"/>
          <w:bCs/>
          <w:sz w:val="22"/>
          <w:szCs w:val="22"/>
        </w:rPr>
        <w:t>abiedrības uzmanību bērnu un jauniešu problēmām, kas var izraisīt priekšlaicīgu mācību pārtraukšanu, kā arī popularizētu projekta aktivitātes. Regulāri atjaunota informācija tīmekļvietnē pumpurs.lv, sadaļā “ESF projekts “</w:t>
      </w:r>
      <w:proofErr w:type="spellStart"/>
      <w:r>
        <w:rPr>
          <w:rFonts w:eastAsia="Times New Roman"/>
          <w:bCs/>
          <w:sz w:val="22"/>
          <w:szCs w:val="22"/>
        </w:rPr>
        <w:t>PuMPuRS</w:t>
      </w:r>
      <w:proofErr w:type="spellEnd"/>
      <w:r>
        <w:rPr>
          <w:rFonts w:eastAsia="Times New Roman"/>
          <w:bCs/>
          <w:sz w:val="22"/>
          <w:szCs w:val="22"/>
        </w:rPr>
        <w:t>” kvalitātes dienesta tīmekļ</w:t>
      </w:r>
      <w:r>
        <w:rPr>
          <w:rFonts w:eastAsia="Times New Roman"/>
          <w:bCs/>
          <w:sz w:val="22"/>
          <w:szCs w:val="22"/>
        </w:rPr>
        <w:t xml:space="preserve">vietnē, vietnes </w:t>
      </w:r>
      <w:proofErr w:type="spellStart"/>
      <w:r>
        <w:rPr>
          <w:rFonts w:eastAsia="Times New Roman"/>
          <w:bCs/>
          <w:i/>
          <w:sz w:val="22"/>
          <w:szCs w:val="22"/>
        </w:rPr>
        <w:t>facebook</w:t>
      </w:r>
      <w:proofErr w:type="spellEnd"/>
      <w:r>
        <w:rPr>
          <w:rFonts w:eastAsia="Times New Roman"/>
          <w:bCs/>
          <w:i/>
          <w:sz w:val="22"/>
          <w:szCs w:val="22"/>
        </w:rPr>
        <w:t xml:space="preserve"> </w:t>
      </w:r>
      <w:r>
        <w:rPr>
          <w:rFonts w:eastAsia="Times New Roman"/>
          <w:bCs/>
          <w:sz w:val="22"/>
          <w:szCs w:val="22"/>
        </w:rPr>
        <w:t>profilā, informācija par projekta gaitu atspoguļota plašsaziņas līdzekļos. Pārskata periodā tika sagatavotas arī 12 raidījuma “KLASE” sērijas, kuras demonstrētas Latvijas televīzijā un pieejamas internetā</w:t>
      </w:r>
      <w:r>
        <w:rPr>
          <w:rStyle w:val="FootnoteAnchor"/>
          <w:rFonts w:eastAsia="Times New Roman"/>
          <w:bCs/>
          <w:sz w:val="22"/>
          <w:szCs w:val="22"/>
        </w:rPr>
        <w:footnoteReference w:id="8"/>
      </w:r>
      <w:r>
        <w:rPr>
          <w:rFonts w:eastAsia="Times New Roman"/>
          <w:bCs/>
          <w:sz w:val="22"/>
          <w:szCs w:val="22"/>
        </w:rPr>
        <w:t xml:space="preserve">. </w:t>
      </w:r>
    </w:p>
    <w:p w14:paraId="24F1ABC8" w14:textId="77777777" w:rsidR="00087872" w:rsidRDefault="00256B13">
      <w:r>
        <w:rPr>
          <w:rFonts w:eastAsia="Times New Roman"/>
          <w:sz w:val="22"/>
          <w:szCs w:val="22"/>
        </w:rPr>
        <w:t>Kvalitātes dienests 2022. gadā turpināja sadarbību ar nevalstiskā sektora pārstāvjiem, tostarp Latvijas Izglītības vadītāju asociācijas, Latvijas Izglītības un zinātnes darbinieku arodbiedrības (LIZDA), Latvijas Darba devēju konfederācijas, Latvijas Pašval</w:t>
      </w:r>
      <w:r>
        <w:rPr>
          <w:rFonts w:eastAsia="Times New Roman"/>
          <w:sz w:val="22"/>
          <w:szCs w:val="22"/>
        </w:rPr>
        <w:t xml:space="preserve">dību savienības, Latvijas Psihologu apvienības, Latvijas Psihologu asociāciju federācijas, Latvijas Psihologu biedrības, Latvijas Privāto pirmsskolu biedrības pārstāvjiem, tostarp konsultējot par aktualitātēm kvalitātes dienesta darbā. </w:t>
      </w:r>
    </w:p>
    <w:p w14:paraId="6657D864" w14:textId="77777777" w:rsidR="00087872" w:rsidRDefault="00256B13">
      <w:r>
        <w:rPr>
          <w:rFonts w:eastAsia="Times New Roman"/>
          <w:sz w:val="22"/>
          <w:szCs w:val="22"/>
        </w:rPr>
        <w:t>Nevalstisko organiz</w:t>
      </w:r>
      <w:r>
        <w:rPr>
          <w:rFonts w:eastAsia="Times New Roman"/>
          <w:sz w:val="22"/>
          <w:szCs w:val="22"/>
        </w:rPr>
        <w:t>āciju pārstāvji darbojas Personu izvērtēšanas komisijā (LIZDA, Vecāki par izglītību), Darba devēju pārstāvji un nozaru ekspertu padomes, kā arī LIZDA pārstāvji iesaistījās izglītības iestāžu akreditācijas procesā. Kvalitātes dienesta vadītāja Inita Juhņēvi</w:t>
      </w:r>
      <w:r>
        <w:rPr>
          <w:rFonts w:eastAsia="Times New Roman"/>
          <w:sz w:val="22"/>
          <w:szCs w:val="22"/>
        </w:rPr>
        <w:t>ča pārskata periodā turpināja darboties arī programmas „Iespējamā misija” Konsultatīvajā padomē. Kvalitātes dienests piedalās arī Starpnozaru koalīcijā ilgtspējīgas attīstības mērķu ieviešanai. Kvalitātes dienesta pārstāvji piedalījās dažādās diskusijās ar</w:t>
      </w:r>
      <w:r>
        <w:rPr>
          <w:rFonts w:eastAsia="Times New Roman"/>
          <w:sz w:val="22"/>
          <w:szCs w:val="22"/>
        </w:rPr>
        <w:t xml:space="preserve"> nevalstiskajām organizācijām, it īpaši Latvijas Pašvaldību savienību. </w:t>
      </w:r>
      <w:r>
        <w:br w:type="page"/>
      </w:r>
    </w:p>
    <w:p w14:paraId="53157222" w14:textId="77777777" w:rsidR="00087872" w:rsidRDefault="00256B13">
      <w:pPr>
        <w:pStyle w:val="Virsraksts11"/>
      </w:pPr>
      <w:bookmarkStart w:id="86" w:name="_Toc456012561"/>
      <w:bookmarkStart w:id="87" w:name="_Toc456012661"/>
      <w:bookmarkStart w:id="88" w:name="_Toc139120242"/>
      <w:r>
        <w:t>V. NĀKAMAJĀ GADĀ PLĀNOTIE PASĀKUMI</w:t>
      </w:r>
      <w:bookmarkEnd w:id="86"/>
      <w:bookmarkEnd w:id="87"/>
      <w:bookmarkEnd w:id="88"/>
    </w:p>
    <w:p w14:paraId="78C85B37" w14:textId="77777777" w:rsidR="00087872" w:rsidRDefault="00256B13">
      <w:pPr>
        <w:contextualSpacing/>
      </w:pPr>
      <w:r>
        <w:rPr>
          <w:rFonts w:eastAsia="Times New Roman"/>
          <w:sz w:val="22"/>
          <w:szCs w:val="22"/>
        </w:rPr>
        <w:t>Sagatavojot 2023. gada darba plānu, kvalitātes dienests izvirzījis 3 prioritātes:</w:t>
      </w:r>
    </w:p>
    <w:p w14:paraId="39603728" w14:textId="77777777" w:rsidR="00087872" w:rsidRDefault="00256B13">
      <w:pPr>
        <w:tabs>
          <w:tab w:val="left" w:pos="426"/>
        </w:tabs>
        <w:contextualSpacing/>
      </w:pPr>
      <w:r>
        <w:rPr>
          <w:rFonts w:eastAsia="Times New Roman"/>
          <w:sz w:val="22"/>
          <w:szCs w:val="22"/>
        </w:rPr>
        <w:t>1.</w:t>
      </w:r>
      <w:r>
        <w:t xml:space="preserve"> </w:t>
      </w:r>
      <w:r>
        <w:rPr>
          <w:rFonts w:eastAsia="Times New Roman"/>
          <w:sz w:val="22"/>
          <w:szCs w:val="22"/>
        </w:rPr>
        <w:t>Veidot efektīvu izglītības kvalitātes novērtēšanas sistēmu, nod</w:t>
      </w:r>
      <w:r>
        <w:rPr>
          <w:rFonts w:eastAsia="Times New Roman"/>
          <w:sz w:val="22"/>
          <w:szCs w:val="22"/>
        </w:rPr>
        <w:t>rošinot pāreju uz institucionālo akreditāciju;</w:t>
      </w:r>
    </w:p>
    <w:p w14:paraId="3B30BBD8" w14:textId="77777777" w:rsidR="00087872" w:rsidRDefault="00256B13">
      <w:pPr>
        <w:tabs>
          <w:tab w:val="left" w:pos="426"/>
        </w:tabs>
        <w:contextualSpacing/>
      </w:pPr>
      <w:r>
        <w:rPr>
          <w:rFonts w:eastAsia="Times New Roman"/>
          <w:sz w:val="22"/>
          <w:szCs w:val="22"/>
        </w:rPr>
        <w:t>2. Īstenot regulāru izglītības kvalitātes monitoringu, iniciējot nepieciešamos uzlabojumus izglītības iestāžu darbībā;</w:t>
      </w:r>
    </w:p>
    <w:p w14:paraId="57A31DCA" w14:textId="77777777" w:rsidR="00087872" w:rsidRDefault="00256B13">
      <w:pPr>
        <w:tabs>
          <w:tab w:val="left" w:pos="426"/>
        </w:tabs>
        <w:contextualSpacing/>
      </w:pPr>
      <w:r>
        <w:rPr>
          <w:rFonts w:eastAsia="Times New Roman"/>
          <w:sz w:val="22"/>
          <w:szCs w:val="22"/>
        </w:rPr>
        <w:t xml:space="preserve">3. Izveidot </w:t>
      </w:r>
      <w:proofErr w:type="spellStart"/>
      <w:r>
        <w:rPr>
          <w:rFonts w:eastAsia="Times New Roman"/>
          <w:sz w:val="22"/>
          <w:szCs w:val="22"/>
        </w:rPr>
        <w:t>starpinstitucionālu</w:t>
      </w:r>
      <w:proofErr w:type="spellEnd"/>
      <w:r>
        <w:rPr>
          <w:rFonts w:eastAsia="Times New Roman"/>
          <w:sz w:val="22"/>
          <w:szCs w:val="22"/>
        </w:rPr>
        <w:t xml:space="preserve"> sadarbības sistēmu priekšlaicīgas mācību pārtraukšanas ris</w:t>
      </w:r>
      <w:r>
        <w:rPr>
          <w:rFonts w:eastAsia="Times New Roman"/>
          <w:sz w:val="22"/>
          <w:szCs w:val="22"/>
        </w:rPr>
        <w:t>ku identificēšanai un novēršanai.</w:t>
      </w:r>
    </w:p>
    <w:p w14:paraId="27BAC3CC" w14:textId="77777777" w:rsidR="00087872" w:rsidRDefault="00256B13">
      <w:pPr>
        <w:pStyle w:val="Pamatteksts"/>
        <w:tabs>
          <w:tab w:val="left" w:pos="426"/>
        </w:tabs>
      </w:pPr>
      <w:r>
        <w:rPr>
          <w:rFonts w:eastAsia="Times New Roman"/>
        </w:rPr>
        <w:t>2023. gadā kvalitātes dienests plāno sistēmiski pilnveidot izglītības kvalitātes novērtēšanas sistēmu, izstrādājot un ieviešot normatīvo aktu grozījumus, tostarp jaunus Ministru kabineta noteikumus par izglītības iestāžu i</w:t>
      </w:r>
      <w:r>
        <w:rPr>
          <w:rFonts w:eastAsia="Times New Roman"/>
        </w:rPr>
        <w:t xml:space="preserve">nstitucionālo akreditāciju, izglītības iestāžu vadītāju profesionālās darbības novērtēšanu, kā arī augstskolu un koledžu darbības kvalitātes novērtēšanai profesionālajā vidējā izglītībā, profesionālajā tālākizglītībā un profesionālās pilnveides izglītībā, </w:t>
      </w:r>
      <w:r>
        <w:rPr>
          <w:rFonts w:eastAsia="Times New Roman"/>
        </w:rPr>
        <w:t>grozījumus Vadlīnijās izglītības kvalitātes nodrošināšanai vispārējā un profesionālajā izglītībā, noslēdzot pāreju uz institucionālo akreditāciju, ieviest aktuālās pārmaiņas izglītības programmu licencēšanā.</w:t>
      </w:r>
    </w:p>
    <w:p w14:paraId="42F634C9" w14:textId="77777777" w:rsidR="00087872" w:rsidRDefault="00256B13">
      <w:pPr>
        <w:pStyle w:val="Pamatteksts"/>
        <w:tabs>
          <w:tab w:val="left" w:pos="426"/>
        </w:tabs>
      </w:pPr>
      <w:r>
        <w:rPr>
          <w:rFonts w:eastAsia="Times New Roman"/>
        </w:rPr>
        <w:t>Tāpat kvalitātes dienests plānojis īstenot monit</w:t>
      </w:r>
      <w:r>
        <w:rPr>
          <w:rFonts w:eastAsia="Times New Roman"/>
        </w:rPr>
        <w:t>oringu pārejas uz vienotu izglītību latviešu valodā nodrošināšanai, kā arī izglītības iestāžu darbības tiesiskuma uzraudzību un pilnveidi.</w:t>
      </w:r>
    </w:p>
    <w:p w14:paraId="7A53EE63" w14:textId="77777777" w:rsidR="00087872" w:rsidRDefault="00256B13">
      <w:pPr>
        <w:spacing w:after="160"/>
      </w:pPr>
      <w:r>
        <w:rPr>
          <w:rFonts w:eastAsia="Times New Roman"/>
          <w:sz w:val="22"/>
          <w:szCs w:val="22"/>
        </w:rPr>
        <w:t>Kā katru gadu, kvalitātes dienests turpinās regulāru izglītības kvalitātes monitoringa īstenošanu, izmantojot izglītī</w:t>
      </w:r>
      <w:r>
        <w:rPr>
          <w:rFonts w:eastAsia="Times New Roman"/>
          <w:sz w:val="22"/>
          <w:szCs w:val="22"/>
        </w:rPr>
        <w:t xml:space="preserve">bas iestāžu </w:t>
      </w:r>
      <w:proofErr w:type="spellStart"/>
      <w:r>
        <w:rPr>
          <w:rFonts w:eastAsia="Times New Roman"/>
          <w:sz w:val="22"/>
          <w:szCs w:val="22"/>
        </w:rPr>
        <w:t>pašvērtēšanā</w:t>
      </w:r>
      <w:proofErr w:type="spellEnd"/>
      <w:r>
        <w:rPr>
          <w:rFonts w:eastAsia="Times New Roman"/>
          <w:sz w:val="22"/>
          <w:szCs w:val="22"/>
        </w:rPr>
        <w:t>, izglītības iestāžu akreditācijā un izglītības iestāžu vadītāju profesionālās darbības novērtēšanā iegūtos datus un informāciju.</w:t>
      </w:r>
    </w:p>
    <w:p w14:paraId="00ED5756" w14:textId="77777777" w:rsidR="00087872" w:rsidRDefault="00256B13">
      <w:pPr>
        <w:spacing w:after="160"/>
      </w:pPr>
      <w:r>
        <w:rPr>
          <w:rFonts w:eastAsia="Times New Roman"/>
          <w:sz w:val="22"/>
          <w:szCs w:val="22"/>
        </w:rPr>
        <w:t xml:space="preserve">2023. gads ir pēdējais projekta </w:t>
      </w:r>
      <w:proofErr w:type="spellStart"/>
      <w:r>
        <w:rPr>
          <w:rFonts w:eastAsia="Times New Roman"/>
          <w:sz w:val="22"/>
          <w:szCs w:val="22"/>
        </w:rPr>
        <w:t>PuMPuRS</w:t>
      </w:r>
      <w:proofErr w:type="spellEnd"/>
      <w:r>
        <w:rPr>
          <w:rFonts w:eastAsia="Times New Roman"/>
          <w:sz w:val="22"/>
          <w:szCs w:val="22"/>
        </w:rPr>
        <w:t xml:space="preserve"> īstenošanas gads, līdz ar to tiks sagatavoti projekta noslēgum</w:t>
      </w:r>
      <w:r>
        <w:rPr>
          <w:rFonts w:eastAsia="Times New Roman"/>
          <w:sz w:val="22"/>
          <w:szCs w:val="22"/>
        </w:rPr>
        <w:t>a dokumenti un paralēli projekta īstenošanai noritēs darbs, plānojot turpmāko darbu ar izglītojamiem, kuriem ir risks priekšlaikus pārtraukt mācības, tostarp notiks priekšlikumu izstrāde projektam "Skola-kopiena". Vienlaikus arī 2023.</w:t>
      </w:r>
      <w:r>
        <w:t xml:space="preserve"> gadā turpināsies </w:t>
      </w:r>
      <w:r>
        <w:rPr>
          <w:rFonts w:eastAsia="Times New Roman"/>
          <w:sz w:val="22"/>
          <w:szCs w:val="22"/>
        </w:rPr>
        <w:t>indi</w:t>
      </w:r>
      <w:r>
        <w:rPr>
          <w:rFonts w:eastAsia="Times New Roman"/>
          <w:sz w:val="22"/>
          <w:szCs w:val="22"/>
        </w:rPr>
        <w:t xml:space="preserve">viduāla atbalsta plānu izstrāde un īstenošana izglītojamiem, interaktīvā rīka priekšlaicīgas mācību pārtraukšanas risku apzināšanai un mazināšanai, sabiedrības informēšanas kampaņa un raidījuma “KLASE” sižetu gatavošana, pedagogu profesionālās kompetences </w:t>
      </w:r>
      <w:r>
        <w:rPr>
          <w:rFonts w:eastAsia="Times New Roman"/>
          <w:sz w:val="22"/>
          <w:szCs w:val="22"/>
        </w:rPr>
        <w:t xml:space="preserve">pilnveides programmu, jaunatnes iniciatīvas projektu, pedagogu </w:t>
      </w:r>
      <w:proofErr w:type="spellStart"/>
      <w:r>
        <w:rPr>
          <w:rFonts w:eastAsia="Times New Roman"/>
          <w:sz w:val="22"/>
          <w:szCs w:val="22"/>
        </w:rPr>
        <w:t>supervīziju</w:t>
      </w:r>
      <w:proofErr w:type="spellEnd"/>
      <w:r>
        <w:rPr>
          <w:rFonts w:eastAsia="Times New Roman"/>
          <w:sz w:val="22"/>
          <w:szCs w:val="22"/>
        </w:rPr>
        <w:t xml:space="preserve"> īstenošana. Vienlaikus plānots izstrādāt pašvaldību izglītības stratēģiju ietvaru, kurā paredzēts iekļaut arī priekšlaicīgas mācību pārtraukšanas riska </w:t>
      </w:r>
      <w:proofErr w:type="spellStart"/>
      <w:r>
        <w:rPr>
          <w:rFonts w:eastAsia="Times New Roman"/>
          <w:sz w:val="22"/>
          <w:szCs w:val="22"/>
        </w:rPr>
        <w:t>prevencijas</w:t>
      </w:r>
      <w:proofErr w:type="spellEnd"/>
      <w:r>
        <w:rPr>
          <w:rFonts w:eastAsia="Times New Roman"/>
          <w:sz w:val="22"/>
          <w:szCs w:val="22"/>
        </w:rPr>
        <w:t xml:space="preserve"> sistēmu un riska </w:t>
      </w:r>
      <w:r>
        <w:rPr>
          <w:rFonts w:eastAsia="Times New Roman"/>
          <w:sz w:val="22"/>
          <w:szCs w:val="22"/>
        </w:rPr>
        <w:t>mazināšanas programmu.</w:t>
      </w:r>
    </w:p>
    <w:p w14:paraId="2C3C2C06" w14:textId="77777777" w:rsidR="00087872" w:rsidRDefault="00087872">
      <w:pPr>
        <w:spacing w:after="160"/>
      </w:pPr>
    </w:p>
    <w:sectPr w:rsidR="00087872">
      <w:footerReference w:type="default" r:id="rId25"/>
      <w:footnotePr>
        <w:numRestart w:val="eachPage"/>
      </w:footnotePr>
      <w:pgSz w:w="11906" w:h="16838"/>
      <w:pgMar w:top="851" w:right="1134" w:bottom="851"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D991" w14:textId="77777777" w:rsidR="00000000" w:rsidRDefault="00256B13">
      <w:pPr>
        <w:spacing w:after="0" w:line="240" w:lineRule="auto"/>
      </w:pPr>
      <w:r>
        <w:separator/>
      </w:r>
    </w:p>
  </w:endnote>
  <w:endnote w:type="continuationSeparator" w:id="0">
    <w:p w14:paraId="0874FCE0" w14:textId="77777777" w:rsidR="00000000" w:rsidRDefault="0025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Monotype Corsiva">
    <w:panose1 w:val="03010101010201010101"/>
    <w:charset w:val="BA"/>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3019" w14:textId="77777777" w:rsidR="00087872" w:rsidRDefault="00256B13">
    <w:pPr>
      <w:pStyle w:val="Kjene"/>
      <w:jc w:val="right"/>
    </w:pPr>
    <w:r>
      <w:fldChar w:fldCharType="begin"/>
    </w:r>
    <w:r>
      <w:instrText>PAGE</w:instrText>
    </w:r>
    <w:r>
      <w:fldChar w:fldCharType="separate"/>
    </w:r>
    <w:r>
      <w:t>3</w:t>
    </w:r>
    <w:r>
      <w:fldChar w:fldCharType="end"/>
    </w:r>
  </w:p>
  <w:p w14:paraId="74EC22C5" w14:textId="77777777" w:rsidR="00087872" w:rsidRDefault="000878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C548" w14:textId="77777777" w:rsidR="00087872" w:rsidRDefault="00256B13">
      <w:pPr>
        <w:rPr>
          <w:sz w:val="12"/>
        </w:rPr>
      </w:pPr>
      <w:r>
        <w:separator/>
      </w:r>
    </w:p>
  </w:footnote>
  <w:footnote w:type="continuationSeparator" w:id="0">
    <w:p w14:paraId="4C324BCB" w14:textId="77777777" w:rsidR="00087872" w:rsidRDefault="00256B13">
      <w:pPr>
        <w:rPr>
          <w:sz w:val="12"/>
        </w:rPr>
      </w:pPr>
      <w:r>
        <w:continuationSeparator/>
      </w:r>
    </w:p>
  </w:footnote>
  <w:footnote w:id="1">
    <w:p w14:paraId="6220BE08" w14:textId="77777777" w:rsidR="00087872" w:rsidRDefault="00256B13">
      <w:pPr>
        <w:pStyle w:val="Vresteksts"/>
        <w:spacing w:after="0"/>
        <w:rPr>
          <w:rFonts w:ascii="Times New Roman" w:hAnsi="Times New Roman"/>
        </w:rPr>
      </w:pPr>
      <w:r>
        <w:rPr>
          <w:rStyle w:val="FootnoteCharacters"/>
        </w:rPr>
        <w:footnoteRef/>
      </w:r>
      <w:r>
        <w:rPr>
          <w:rFonts w:ascii="Times New Roman" w:hAnsi="Times New Roman"/>
        </w:rPr>
        <w:t xml:space="preserve"> Pilnu </w:t>
      </w:r>
      <w:proofErr w:type="spellStart"/>
      <w:r>
        <w:rPr>
          <w:rFonts w:ascii="Times New Roman" w:hAnsi="Times New Roman"/>
        </w:rPr>
        <w:t>Izvērtējuma</w:t>
      </w:r>
      <w:proofErr w:type="spellEnd"/>
      <w:r>
        <w:rPr>
          <w:rFonts w:ascii="Times New Roman" w:hAnsi="Times New Roman"/>
        </w:rPr>
        <w:t xml:space="preserve"> tekstu skat. https://www.ikvd.gov.lv/lv/zinojumi#2022-gads</w:t>
      </w:r>
    </w:p>
  </w:footnote>
  <w:footnote w:id="2">
    <w:p w14:paraId="1D273391" w14:textId="77777777" w:rsidR="00087872" w:rsidRDefault="00256B13">
      <w:pPr>
        <w:pStyle w:val="Vresteksts"/>
        <w:spacing w:line="240" w:lineRule="auto"/>
        <w:contextualSpacing/>
        <w:jc w:val="left"/>
        <w:rPr>
          <w:rFonts w:ascii="Times New Roman" w:hAnsi="Times New Roman"/>
        </w:rPr>
      </w:pPr>
      <w:r>
        <w:rPr>
          <w:rStyle w:val="FootnoteCharacters"/>
        </w:rPr>
        <w:footnoteRef/>
      </w:r>
      <w:r>
        <w:rPr>
          <w:rFonts w:ascii="Times New Roman" w:hAnsi="Times New Roman"/>
        </w:rPr>
        <w:t xml:space="preserve"> </w:t>
      </w:r>
      <w:hyperlink r:id="rId1">
        <w:r>
          <w:rPr>
            <w:rStyle w:val="Hipersaite"/>
            <w:rFonts w:ascii="Times New Roman" w:eastAsia="Calibri" w:hAnsi="Times New Roman"/>
            <w:color w:val="auto"/>
            <w:u w:val="none"/>
          </w:rPr>
          <w:t>https://www.ikvd.gov.lv/lv/jaunums/pasvaldibu-pedagogiski-medicinisko-komisiju-izsniegtie-atzinumi-ir-pieme</w:t>
        </w:r>
        <w:r>
          <w:rPr>
            <w:rStyle w:val="Hipersaite"/>
            <w:rFonts w:ascii="Times New Roman" w:eastAsia="Calibri" w:hAnsi="Times New Roman"/>
            <w:color w:val="auto"/>
            <w:u w:val="none"/>
          </w:rPr>
          <w:t>rojami-tikai-lidz-4-klasei</w:t>
        </w:r>
      </w:hyperlink>
      <w:r>
        <w:rPr>
          <w:rFonts w:ascii="Times New Roman" w:hAnsi="Times New Roman"/>
        </w:rPr>
        <w:t xml:space="preserve"> </w:t>
      </w:r>
    </w:p>
  </w:footnote>
  <w:footnote w:id="3">
    <w:p w14:paraId="03F2026B" w14:textId="77777777" w:rsidR="00087872" w:rsidRDefault="00256B13">
      <w:pPr>
        <w:pStyle w:val="Vresteksts"/>
        <w:spacing w:line="240" w:lineRule="auto"/>
        <w:contextualSpacing/>
        <w:jc w:val="left"/>
        <w:rPr>
          <w:rFonts w:ascii="Times New Roman" w:hAnsi="Times New Roman"/>
        </w:rPr>
      </w:pPr>
      <w:r>
        <w:rPr>
          <w:rStyle w:val="FootnoteCharacters"/>
        </w:rPr>
        <w:footnoteRef/>
      </w:r>
      <w:r>
        <w:rPr>
          <w:rFonts w:ascii="Times New Roman" w:hAnsi="Times New Roman"/>
        </w:rPr>
        <w:t xml:space="preserve"> </w:t>
      </w:r>
      <w:hyperlink r:id="rId2">
        <w:r>
          <w:rPr>
            <w:rStyle w:val="Hipersaite"/>
            <w:rFonts w:ascii="Times New Roman" w:eastAsia="Calibri" w:hAnsi="Times New Roman"/>
            <w:color w:val="auto"/>
            <w:u w:val="none"/>
          </w:rPr>
          <w:t>https://www.ikvd.gov.lv/lv/jaunums/skolenu-liecibas-veiktajiem-</w:t>
        </w:r>
        <w:r>
          <w:rPr>
            <w:rStyle w:val="Hipersaite"/>
            <w:rFonts w:ascii="Times New Roman" w:eastAsia="Calibri" w:hAnsi="Times New Roman"/>
            <w:color w:val="auto"/>
            <w:u w:val="none"/>
          </w:rPr>
          <w:t>ierakstiem-ir-jabut-skaidriem-un-neparprotamiem</w:t>
        </w:r>
      </w:hyperlink>
      <w:r>
        <w:rPr>
          <w:rFonts w:ascii="Times New Roman" w:hAnsi="Times New Roman"/>
        </w:rPr>
        <w:t xml:space="preserve"> </w:t>
      </w:r>
    </w:p>
  </w:footnote>
  <w:footnote w:id="4">
    <w:p w14:paraId="765373F2" w14:textId="77777777" w:rsidR="00087872" w:rsidRDefault="00256B13">
      <w:pPr>
        <w:pStyle w:val="Vresteksts"/>
        <w:spacing w:after="0" w:line="240" w:lineRule="auto"/>
        <w:rPr>
          <w:rFonts w:ascii="Times New Roman" w:hAnsi="Times New Roman"/>
        </w:rPr>
      </w:pPr>
      <w:r>
        <w:rPr>
          <w:rStyle w:val="FootnoteCharacters"/>
        </w:rPr>
        <w:footnoteRef/>
      </w:r>
      <w:r>
        <w:t xml:space="preserve"> </w:t>
      </w:r>
      <w:r>
        <w:rPr>
          <w:rFonts w:ascii="Times New Roman" w:hAnsi="Times New Roman"/>
        </w:rPr>
        <w:t xml:space="preserve">Pilna informācija par projekta aktivitātēm: </w:t>
      </w:r>
      <w:r>
        <w:rPr>
          <w:rFonts w:ascii="Times New Roman" w:hAnsi="Times New Roman"/>
        </w:rPr>
        <w:t>https://www.izm.gov.lv/lv/projekts/izglitibas-kvalitates-monitoringa-sistemas-izveide-un-istenosana</w:t>
      </w:r>
    </w:p>
  </w:footnote>
  <w:footnote w:id="5">
    <w:p w14:paraId="7A940A24" w14:textId="77777777" w:rsidR="00087872" w:rsidRDefault="00256B13">
      <w:pPr>
        <w:pStyle w:val="Vresteksts"/>
        <w:spacing w:after="0" w:line="240" w:lineRule="auto"/>
        <w:rPr>
          <w:rFonts w:ascii="Times New Roman" w:hAnsi="Times New Roman"/>
        </w:rPr>
      </w:pPr>
      <w:r>
        <w:rPr>
          <w:rStyle w:val="FootnoteCharacters"/>
        </w:rPr>
        <w:footnoteRef/>
      </w:r>
      <w:r>
        <w:rPr>
          <w:rFonts w:ascii="Times New Roman" w:hAnsi="Times New Roman"/>
        </w:rPr>
        <w:t xml:space="preserve"> </w:t>
      </w:r>
      <w:r>
        <w:rPr>
          <w:rFonts w:ascii="Times New Roman" w:hAnsi="Times New Roman"/>
        </w:rPr>
        <w:t>Konferences “Izglītības kvalitātes monitorings iekļaujošai izglītībai” materiālus skat.: https://www.ikvd.gov.lv/lv/izglitibas-iestadem#konferences-izglit</w:t>
      </w:r>
      <w:r>
        <w:rPr>
          <w:rFonts w:ascii="Times New Roman" w:hAnsi="Times New Roman"/>
        </w:rPr>
        <w:t>ibas-kvalitates-monitorings-ieklaujosai-izglitibai-materiali</w:t>
      </w:r>
    </w:p>
  </w:footnote>
  <w:footnote w:id="6">
    <w:p w14:paraId="1C55F167" w14:textId="77777777" w:rsidR="00087872" w:rsidRDefault="00256B13">
      <w:pPr>
        <w:pStyle w:val="Vresteksts"/>
        <w:spacing w:after="0" w:line="240" w:lineRule="auto"/>
        <w:rPr>
          <w:rFonts w:ascii="Times New Roman" w:hAnsi="Times New Roman"/>
        </w:rPr>
      </w:pPr>
      <w:r>
        <w:rPr>
          <w:rStyle w:val="FootnoteCharacters"/>
        </w:rPr>
        <w:footnoteRef/>
      </w:r>
      <w:r>
        <w:rPr>
          <w:rFonts w:ascii="Times New Roman" w:hAnsi="Times New Roman"/>
        </w:rPr>
        <w:t xml:space="preserve"> </w:t>
      </w:r>
      <w:r>
        <w:rPr>
          <w:rFonts w:ascii="Times New Roman" w:hAnsi="Times New Roman"/>
        </w:rPr>
        <w:t>Pilna informācija par kvalitātes dienesta aktivitātēm projektā: https://www.ikvd.gov.lv/lv/projekts/atbalsts-bezdarbnieku-izglitibai</w:t>
      </w:r>
    </w:p>
  </w:footnote>
  <w:footnote w:id="7">
    <w:p w14:paraId="281ACCAB" w14:textId="77777777" w:rsidR="00087872" w:rsidRDefault="00256B13">
      <w:pPr>
        <w:pStyle w:val="Vresteksts"/>
      </w:pPr>
      <w:r>
        <w:rPr>
          <w:rStyle w:val="FootnoteCharacters"/>
        </w:rPr>
        <w:footnoteRef/>
      </w:r>
      <w:r>
        <w:t xml:space="preserve"> </w:t>
      </w:r>
      <w:r>
        <w:rPr>
          <w:rFonts w:ascii="Times New Roman" w:hAnsi="Times New Roman"/>
        </w:rPr>
        <w:t>https://www.ikvd.gov.lv/lv/pakalpojumi</w:t>
      </w:r>
    </w:p>
  </w:footnote>
  <w:footnote w:id="8">
    <w:p w14:paraId="272A8434" w14:textId="77777777" w:rsidR="00087872" w:rsidRDefault="00256B13">
      <w:pPr>
        <w:pStyle w:val="Vresteksts"/>
        <w:spacing w:after="0"/>
      </w:pPr>
      <w:r>
        <w:rPr>
          <w:rStyle w:val="FootnoteCharacters"/>
        </w:rPr>
        <w:footnoteRef/>
      </w:r>
      <w:r>
        <w:t xml:space="preserve"> </w:t>
      </w:r>
      <w:r>
        <w:rPr>
          <w:rFonts w:ascii="Times New Roman" w:hAnsi="Times New Roman"/>
        </w:rPr>
        <w:t>skat. https://ltv</w:t>
      </w:r>
      <w:r>
        <w:rPr>
          <w:rFonts w:ascii="Times New Roman" w:hAnsi="Times New Roman"/>
        </w:rPr>
        <w:t>.lsm.lv/lv/raidijums/klase/visi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103"/>
    <w:multiLevelType w:val="multilevel"/>
    <w:tmpl w:val="F5485318"/>
    <w:lvl w:ilvl="0">
      <w:start w:val="1"/>
      <w:numFmt w:val="upperRoman"/>
      <w:pStyle w:val="VIRSRAKSTS1"/>
      <w:lvlText w:val="%1."/>
      <w:lvlJc w:val="left"/>
      <w:pPr>
        <w:tabs>
          <w:tab w:val="num" w:pos="0"/>
        </w:tabs>
        <w:ind w:left="1800" w:hanging="720"/>
      </w:pPr>
      <w:rPr>
        <w:rFonts w:cs="Times New Roman"/>
      </w:rPr>
    </w:lvl>
    <w:lvl w:ilvl="1">
      <w:start w:val="1"/>
      <w:numFmt w:val="decimal"/>
      <w:lvlText w:val="%1.%2."/>
      <w:lvlJc w:val="left"/>
      <w:pPr>
        <w:tabs>
          <w:tab w:val="num" w:pos="0"/>
        </w:tabs>
        <w:ind w:left="502"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16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520" w:hanging="1440"/>
      </w:pPr>
      <w:rPr>
        <w:rFonts w:cs="Times New Roman"/>
      </w:rPr>
    </w:lvl>
    <w:lvl w:ilvl="8">
      <w:start w:val="1"/>
      <w:numFmt w:val="decimal"/>
      <w:lvlText w:val="%1.%2.%3.%4.%5.%6.%7.%8.%9."/>
      <w:lvlJc w:val="left"/>
      <w:pPr>
        <w:tabs>
          <w:tab w:val="num" w:pos="0"/>
        </w:tabs>
        <w:ind w:left="2880" w:hanging="1800"/>
      </w:pPr>
      <w:rPr>
        <w:rFonts w:cs="Times New Roman"/>
      </w:rPr>
    </w:lvl>
  </w:abstractNum>
  <w:abstractNum w:abstractNumId="1" w15:restartNumberingAfterBreak="0">
    <w:nsid w:val="15D71C8D"/>
    <w:multiLevelType w:val="multilevel"/>
    <w:tmpl w:val="F8B28FC0"/>
    <w:lvl w:ilvl="0">
      <w:start w:val="5"/>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B82D81"/>
    <w:multiLevelType w:val="multilevel"/>
    <w:tmpl w:val="BB5E8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EC45FF4"/>
    <w:multiLevelType w:val="multilevel"/>
    <w:tmpl w:val="C9CAF7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F84429"/>
    <w:multiLevelType w:val="multilevel"/>
    <w:tmpl w:val="1A78C8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C955029"/>
    <w:multiLevelType w:val="multilevel"/>
    <w:tmpl w:val="0C9AF0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4C7384C"/>
    <w:multiLevelType w:val="multilevel"/>
    <w:tmpl w:val="DBFA9B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2897587"/>
    <w:multiLevelType w:val="multilevel"/>
    <w:tmpl w:val="136201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70484098"/>
    <w:multiLevelType w:val="multilevel"/>
    <w:tmpl w:val="9A7C2A6C"/>
    <w:lvl w:ilvl="0">
      <w:start w:val="5"/>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8E3727E"/>
    <w:multiLevelType w:val="multilevel"/>
    <w:tmpl w:val="33FE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EEE573C"/>
    <w:multiLevelType w:val="multilevel"/>
    <w:tmpl w:val="BEAECAF6"/>
    <w:lvl w:ilvl="0">
      <w:start w:val="5"/>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39409154">
    <w:abstractNumId w:val="1"/>
  </w:num>
  <w:num w:numId="2" w16cid:durableId="1315135967">
    <w:abstractNumId w:val="8"/>
  </w:num>
  <w:num w:numId="3" w16cid:durableId="1379940192">
    <w:abstractNumId w:val="7"/>
  </w:num>
  <w:num w:numId="4" w16cid:durableId="1163013806">
    <w:abstractNumId w:val="0"/>
  </w:num>
  <w:num w:numId="5" w16cid:durableId="1820607761">
    <w:abstractNumId w:val="10"/>
  </w:num>
  <w:num w:numId="6" w16cid:durableId="559175395">
    <w:abstractNumId w:val="6"/>
  </w:num>
  <w:num w:numId="7" w16cid:durableId="1863589675">
    <w:abstractNumId w:val="9"/>
  </w:num>
  <w:num w:numId="8" w16cid:durableId="337005180">
    <w:abstractNumId w:val="2"/>
  </w:num>
  <w:num w:numId="9" w16cid:durableId="1257713827">
    <w:abstractNumId w:val="5"/>
  </w:num>
  <w:num w:numId="10" w16cid:durableId="1351686532">
    <w:abstractNumId w:val="4"/>
  </w:num>
  <w:num w:numId="11" w16cid:durableId="1522548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72"/>
    <w:rsid w:val="00087872"/>
    <w:rsid w:val="00256B13"/>
    <w:rsid w:val="00411B57"/>
    <w:rsid w:val="00683E0C"/>
    <w:rsid w:val="007930F8"/>
    <w:rsid w:val="00BA3445"/>
    <w:rsid w:val="00C57DCD"/>
    <w:rsid w:val="00C91729"/>
    <w:rsid w:val="00F5276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6767"/>
  <w15:docId w15:val="{E91B50B5-DE20-47E5-8D45-89E07EA9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2F1F"/>
    <w:pPr>
      <w:spacing w:after="200" w:line="276" w:lineRule="auto"/>
      <w:jc w:val="both"/>
    </w:pPr>
    <w:rPr>
      <w:sz w:val="24"/>
      <w:szCs w:val="24"/>
      <w:lang w:eastAsia="en-US"/>
    </w:rPr>
  </w:style>
  <w:style w:type="paragraph" w:styleId="Virsraksts10">
    <w:name w:val="heading 1"/>
    <w:basedOn w:val="Parasts"/>
    <w:next w:val="Parasts"/>
    <w:link w:val="Virsraksts1Rakstz"/>
    <w:qFormat/>
    <w:rsid w:val="00483C6D"/>
    <w:pPr>
      <w:keepNext/>
      <w:keepLines/>
      <w:spacing w:before="480" w:after="0"/>
      <w:outlineLvl w:val="0"/>
    </w:pPr>
    <w:rPr>
      <w:rFonts w:ascii="Cambria" w:hAnsi="Cambria"/>
      <w:b/>
      <w:bCs/>
      <w:color w:val="A5A5A5"/>
      <w:sz w:val="28"/>
      <w:szCs w:val="28"/>
      <w:lang w:eastAsia="lv-LV"/>
    </w:rPr>
  </w:style>
  <w:style w:type="paragraph" w:styleId="Virsraksts2">
    <w:name w:val="heading 2"/>
    <w:basedOn w:val="Parasts"/>
    <w:next w:val="Parasts"/>
    <w:link w:val="Virsraksts2Rakstz"/>
    <w:qFormat/>
    <w:rsid w:val="00483C6D"/>
    <w:pPr>
      <w:keepNext/>
      <w:spacing w:before="240" w:after="60"/>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483C6D"/>
    <w:pPr>
      <w:keepNext/>
      <w:keepLines/>
      <w:spacing w:before="200" w:after="0"/>
      <w:outlineLvl w:val="2"/>
    </w:pPr>
    <w:rPr>
      <w:rFonts w:ascii="Cambria" w:hAnsi="Cambria"/>
      <w:b/>
      <w:bCs/>
      <w:color w:val="DDDDDD"/>
      <w:sz w:val="20"/>
      <w:szCs w:val="20"/>
      <w:lang w:eastAsia="lv-LV"/>
    </w:rPr>
  </w:style>
  <w:style w:type="paragraph" w:styleId="Virsraksts4">
    <w:name w:val="heading 4"/>
    <w:basedOn w:val="Parasts"/>
    <w:link w:val="Virsraksts4Rakstz"/>
    <w:qFormat/>
    <w:rsid w:val="00483C6D"/>
    <w:pPr>
      <w:spacing w:beforeAutospacing="1" w:afterAutospacing="1" w:line="240" w:lineRule="auto"/>
      <w:outlineLvl w:val="3"/>
    </w:pPr>
    <w:rPr>
      <w:b/>
      <w:bCs/>
      <w:lang w:eastAsia="lv-LV"/>
    </w:rPr>
  </w:style>
  <w:style w:type="paragraph" w:styleId="Virsraksts5">
    <w:name w:val="heading 5"/>
    <w:basedOn w:val="Parasts"/>
    <w:next w:val="Parasts"/>
    <w:link w:val="Virsraksts5Rakstz"/>
    <w:uiPriority w:val="9"/>
    <w:unhideWhenUsed/>
    <w:qFormat/>
    <w:rsid w:val="002368F5"/>
    <w:pPr>
      <w:keepNext/>
      <w:ind w:left="1080"/>
      <w:contextualSpacing/>
      <w:jc w:val="center"/>
      <w:outlineLvl w:val="4"/>
    </w:pPr>
    <w:rPr>
      <w:i/>
      <w:sz w:val="22"/>
      <w:szCs w:val="22"/>
      <w:lang w:eastAsia="lv-LV"/>
    </w:rPr>
  </w:style>
  <w:style w:type="paragraph" w:styleId="Virsraksts6">
    <w:name w:val="heading 6"/>
    <w:basedOn w:val="Parasts"/>
    <w:next w:val="Parasts"/>
    <w:uiPriority w:val="9"/>
    <w:unhideWhenUsed/>
    <w:qFormat/>
    <w:rsid w:val="00C41940"/>
    <w:pPr>
      <w:keepNext/>
      <w:spacing w:after="0" w:line="240" w:lineRule="auto"/>
      <w:jc w:val="center"/>
      <w:outlineLvl w:val="5"/>
    </w:pPr>
    <w:rPr>
      <w:b/>
      <w:sz w:val="22"/>
      <w:szCs w:val="22"/>
    </w:rPr>
  </w:style>
  <w:style w:type="paragraph" w:styleId="Virsraksts7">
    <w:name w:val="heading 7"/>
    <w:basedOn w:val="Parasts"/>
    <w:next w:val="Parasts"/>
    <w:link w:val="Virsraksts7Rakstz"/>
    <w:uiPriority w:val="9"/>
    <w:unhideWhenUsed/>
    <w:qFormat/>
    <w:rsid w:val="00B26480"/>
    <w:pPr>
      <w:keepNext/>
      <w:outlineLvl w:val="6"/>
    </w:pPr>
    <w:rPr>
      <w:rFonts w:eastAsiaTheme="minorHAnsi"/>
      <w:b/>
      <w:bCs/>
      <w:sz w:val="22"/>
      <w:szCs w:val="22"/>
    </w:rPr>
  </w:style>
  <w:style w:type="paragraph" w:styleId="Virsraksts8">
    <w:name w:val="heading 8"/>
    <w:basedOn w:val="Parasts"/>
    <w:next w:val="Parasts"/>
    <w:link w:val="Virsraksts8Rakstz"/>
    <w:uiPriority w:val="9"/>
    <w:unhideWhenUsed/>
    <w:qFormat/>
    <w:rsid w:val="00134638"/>
    <w:pPr>
      <w:keepNext/>
      <w:spacing w:after="0" w:line="240" w:lineRule="auto"/>
      <w:outlineLvl w:val="7"/>
    </w:pPr>
    <w:rPr>
      <w:rFonts w:eastAsiaTheme="minorHAnsi"/>
      <w:i/>
      <w:sz w:val="22"/>
      <w:szCs w:val="22"/>
      <w:lang w:eastAsia="lv-LV"/>
    </w:rPr>
  </w:style>
  <w:style w:type="paragraph" w:styleId="Virsraksts9">
    <w:name w:val="heading 9"/>
    <w:basedOn w:val="Parasts"/>
    <w:next w:val="Parasts"/>
    <w:link w:val="Virsraksts9Rakstz"/>
    <w:uiPriority w:val="9"/>
    <w:unhideWhenUsed/>
    <w:qFormat/>
    <w:rsid w:val="00EB1A66"/>
    <w:pPr>
      <w:keepNext/>
      <w:contextualSpacing/>
      <w:jc w:val="right"/>
      <w:outlineLvl w:val="8"/>
    </w:pPr>
    <w:rPr>
      <w:rFonts w:eastAsiaTheme="minorHAnsi"/>
      <w: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link w:val="Balonteksts"/>
    <w:uiPriority w:val="99"/>
    <w:semiHidden/>
    <w:qFormat/>
    <w:rsid w:val="003B58BB"/>
    <w:rPr>
      <w:rFonts w:ascii="Tahoma" w:hAnsi="Tahoma" w:cs="Tahoma"/>
      <w:sz w:val="16"/>
      <w:szCs w:val="16"/>
    </w:rPr>
  </w:style>
  <w:style w:type="character" w:styleId="Hipersaite">
    <w:name w:val="Hyperlink"/>
    <w:uiPriority w:val="99"/>
    <w:rsid w:val="00F51F9D"/>
    <w:rPr>
      <w:color w:val="5F5F5F"/>
      <w:u w:val="single"/>
    </w:rPr>
  </w:style>
  <w:style w:type="character" w:customStyle="1" w:styleId="FootnoteCharacters">
    <w:name w:val="Footnote Characters"/>
    <w:basedOn w:val="Noklusjumarindkopasfonts"/>
    <w:uiPriority w:val="99"/>
    <w:semiHidden/>
    <w:unhideWhenUsed/>
    <w:qFormat/>
    <w:rsid w:val="00CE2A8A"/>
    <w:rPr>
      <w:vertAlign w:val="superscript"/>
    </w:rPr>
  </w:style>
  <w:style w:type="character" w:customStyle="1" w:styleId="FootnoteAnchor">
    <w:name w:val="Footnote Anchor"/>
    <w:rPr>
      <w:vertAlign w:val="superscript"/>
    </w:rPr>
  </w:style>
  <w:style w:type="character" w:styleId="Izmantotahipersaite">
    <w:name w:val="FollowedHyperlink"/>
    <w:semiHidden/>
    <w:unhideWhenUsed/>
    <w:rsid w:val="00FC163B"/>
    <w:rPr>
      <w:color w:val="800080"/>
      <w:u w:val="single"/>
    </w:rPr>
  </w:style>
  <w:style w:type="character" w:customStyle="1" w:styleId="Virsraksts1Rakstz">
    <w:name w:val="Virsraksts 1 Rakstz."/>
    <w:link w:val="Virsraksts10"/>
    <w:qFormat/>
    <w:rsid w:val="00483C6D"/>
    <w:rPr>
      <w:rFonts w:ascii="Cambria" w:eastAsia="Calibri" w:hAnsi="Cambria"/>
      <w:b/>
      <w:bCs/>
      <w:color w:val="A5A5A5"/>
      <w:sz w:val="28"/>
      <w:szCs w:val="28"/>
      <w:lang w:eastAsia="lv-LV"/>
    </w:rPr>
  </w:style>
  <w:style w:type="character" w:customStyle="1" w:styleId="Virsraksts2Rakstz">
    <w:name w:val="Virsraksts 2 Rakstz."/>
    <w:link w:val="Virsraksts2"/>
    <w:qFormat/>
    <w:rsid w:val="00483C6D"/>
    <w:rPr>
      <w:rFonts w:ascii="Arial" w:eastAsia="Times New Roman" w:hAnsi="Arial" w:cs="Arial"/>
      <w:b/>
      <w:bCs/>
      <w:i/>
      <w:iCs/>
      <w:sz w:val="28"/>
      <w:szCs w:val="28"/>
    </w:rPr>
  </w:style>
  <w:style w:type="character" w:customStyle="1" w:styleId="Virsraksts3Rakstz">
    <w:name w:val="Virsraksts 3 Rakstz."/>
    <w:link w:val="Virsraksts3"/>
    <w:qFormat/>
    <w:rsid w:val="00483C6D"/>
    <w:rPr>
      <w:rFonts w:ascii="Cambria" w:eastAsia="Calibri" w:hAnsi="Cambria"/>
      <w:b/>
      <w:bCs/>
      <w:color w:val="DDDDDD"/>
      <w:sz w:val="20"/>
      <w:szCs w:val="20"/>
      <w:lang w:eastAsia="lv-LV"/>
    </w:rPr>
  </w:style>
  <w:style w:type="character" w:customStyle="1" w:styleId="Virsraksts4Rakstz">
    <w:name w:val="Virsraksts 4 Rakstz."/>
    <w:link w:val="Virsraksts4"/>
    <w:qFormat/>
    <w:rsid w:val="00483C6D"/>
    <w:rPr>
      <w:rFonts w:eastAsia="Calibri"/>
      <w:b/>
      <w:bCs/>
      <w:lang w:eastAsia="lv-LV"/>
    </w:rPr>
  </w:style>
  <w:style w:type="character" w:customStyle="1" w:styleId="GalveneRakstz">
    <w:name w:val="Galvene Rakstz."/>
    <w:link w:val="Galvene"/>
    <w:uiPriority w:val="99"/>
    <w:qFormat/>
    <w:rsid w:val="00483C6D"/>
    <w:rPr>
      <w:rFonts w:ascii="Calibri" w:eastAsia="Calibri" w:hAnsi="Calibri"/>
      <w:sz w:val="20"/>
      <w:szCs w:val="20"/>
      <w:lang w:eastAsia="lv-LV"/>
    </w:rPr>
  </w:style>
  <w:style w:type="character" w:customStyle="1" w:styleId="KjeneRakstz">
    <w:name w:val="Kājene Rakstz."/>
    <w:link w:val="Kjene"/>
    <w:uiPriority w:val="99"/>
    <w:qFormat/>
    <w:rsid w:val="00483C6D"/>
    <w:rPr>
      <w:rFonts w:ascii="Calibri" w:eastAsia="Calibri" w:hAnsi="Calibri"/>
      <w:sz w:val="20"/>
      <w:szCs w:val="20"/>
      <w:lang w:eastAsia="lv-LV"/>
    </w:rPr>
  </w:style>
  <w:style w:type="character" w:customStyle="1" w:styleId="VrestekstsRakstz">
    <w:name w:val="Vēres teksts Rakstz."/>
    <w:link w:val="Vresteksts"/>
    <w:uiPriority w:val="99"/>
    <w:semiHidden/>
    <w:qFormat/>
    <w:rsid w:val="00483C6D"/>
    <w:rPr>
      <w:rFonts w:ascii="Calibri" w:eastAsia="Times New Roman" w:hAnsi="Calibri"/>
      <w:sz w:val="20"/>
      <w:szCs w:val="20"/>
      <w:lang w:eastAsia="lv-LV"/>
    </w:rPr>
  </w:style>
  <w:style w:type="character" w:customStyle="1" w:styleId="Bodytext">
    <w:name w:val="Body text_"/>
    <w:link w:val="Bodytext1"/>
    <w:uiPriority w:val="99"/>
    <w:qFormat/>
    <w:locked/>
    <w:rsid w:val="00483C6D"/>
    <w:rPr>
      <w:rFonts w:ascii="Verdana" w:hAnsi="Verdana"/>
      <w:sz w:val="23"/>
      <w:shd w:val="clear" w:color="auto" w:fill="FFFFFF"/>
    </w:rPr>
  </w:style>
  <w:style w:type="character" w:styleId="Komentraatsauce">
    <w:name w:val="annotation reference"/>
    <w:qFormat/>
    <w:rsid w:val="00483C6D"/>
    <w:rPr>
      <w:sz w:val="16"/>
    </w:rPr>
  </w:style>
  <w:style w:type="character" w:customStyle="1" w:styleId="KomentratekstsRakstz">
    <w:name w:val="Komentāra teksts Rakstz."/>
    <w:link w:val="Komentrateksts"/>
    <w:uiPriority w:val="99"/>
    <w:qFormat/>
    <w:rsid w:val="00483C6D"/>
    <w:rPr>
      <w:rFonts w:eastAsia="Calibri"/>
      <w:sz w:val="20"/>
      <w:szCs w:val="20"/>
      <w:lang w:eastAsia="lv-LV"/>
    </w:rPr>
  </w:style>
  <w:style w:type="character" w:styleId="Izteiksmgs">
    <w:name w:val="Strong"/>
    <w:qFormat/>
    <w:rsid w:val="00483C6D"/>
    <w:rPr>
      <w:b/>
    </w:rPr>
  </w:style>
  <w:style w:type="character" w:customStyle="1" w:styleId="BezatstarpmRakstz">
    <w:name w:val="Bez atstarpēm Rakstz."/>
    <w:link w:val="Bezatstarpm"/>
    <w:uiPriority w:val="1"/>
    <w:qFormat/>
    <w:locked/>
    <w:rsid w:val="00483C6D"/>
    <w:rPr>
      <w:rFonts w:ascii="Calibri" w:eastAsia="Calibri" w:hAnsi="Calibri"/>
      <w:sz w:val="20"/>
      <w:szCs w:val="20"/>
      <w:lang w:eastAsia="lv-LV"/>
    </w:rPr>
  </w:style>
  <w:style w:type="character" w:styleId="Izclums">
    <w:name w:val="Emphasis"/>
    <w:qFormat/>
    <w:rsid w:val="00483C6D"/>
    <w:rPr>
      <w:i/>
    </w:rPr>
  </w:style>
  <w:style w:type="character" w:customStyle="1" w:styleId="apple-converted-space">
    <w:name w:val="apple-converted-space"/>
    <w:qFormat/>
    <w:rsid w:val="00483C6D"/>
    <w:rPr>
      <w:rFonts w:cs="Times New Roman"/>
    </w:rPr>
  </w:style>
  <w:style w:type="character" w:customStyle="1" w:styleId="BeiguvrestekstsRakstz">
    <w:name w:val="Beigu vēres teksts Rakstz."/>
    <w:link w:val="Beiguvresteksts"/>
    <w:uiPriority w:val="99"/>
    <w:semiHidden/>
    <w:qFormat/>
    <w:rsid w:val="00483C6D"/>
    <w:rPr>
      <w:rFonts w:ascii="Calibri" w:eastAsia="Times New Roman" w:hAnsi="Calibri"/>
      <w:sz w:val="20"/>
      <w:szCs w:val="20"/>
      <w:lang w:eastAsia="lv-LV"/>
    </w:rPr>
  </w:style>
  <w:style w:type="character" w:customStyle="1" w:styleId="EndnoteCharacters">
    <w:name w:val="Endnote Characters"/>
    <w:semiHidden/>
    <w:qFormat/>
    <w:rsid w:val="00483C6D"/>
    <w:rPr>
      <w:vertAlign w:val="superscript"/>
    </w:rPr>
  </w:style>
  <w:style w:type="character" w:customStyle="1" w:styleId="EndnoteAnchor">
    <w:name w:val="Endnote Anchor"/>
    <w:rPr>
      <w:vertAlign w:val="superscript"/>
    </w:rPr>
  </w:style>
  <w:style w:type="character" w:customStyle="1" w:styleId="KomentratmaRakstz">
    <w:name w:val="Komentāra tēma Rakstz."/>
    <w:link w:val="Komentratma"/>
    <w:uiPriority w:val="99"/>
    <w:semiHidden/>
    <w:qFormat/>
    <w:rsid w:val="00483C6D"/>
    <w:rPr>
      <w:rFonts w:eastAsia="Calibri"/>
      <w:b/>
      <w:bCs/>
      <w:sz w:val="20"/>
      <w:szCs w:val="20"/>
      <w:lang w:eastAsia="lv-LV"/>
    </w:rPr>
  </w:style>
  <w:style w:type="character" w:customStyle="1" w:styleId="displayedin">
    <w:name w:val="displayedin"/>
    <w:qFormat/>
    <w:rsid w:val="00483C6D"/>
    <w:rPr>
      <w:rFonts w:cs="Times New Roman"/>
    </w:rPr>
  </w:style>
  <w:style w:type="character" w:customStyle="1" w:styleId="Pamatteksts2Rakstz">
    <w:name w:val="Pamatteksts 2 Rakstz."/>
    <w:link w:val="Pamatteksts2"/>
    <w:uiPriority w:val="99"/>
    <w:qFormat/>
    <w:rsid w:val="00483C6D"/>
    <w:rPr>
      <w:rFonts w:eastAsia="Calibri"/>
      <w:b/>
      <w:bCs/>
      <w:sz w:val="28"/>
    </w:rPr>
  </w:style>
  <w:style w:type="character" w:customStyle="1" w:styleId="NosaukumsRakstz">
    <w:name w:val="Nosaukums Rakstz."/>
    <w:link w:val="Nosaukums"/>
    <w:uiPriority w:val="99"/>
    <w:qFormat/>
    <w:rsid w:val="00483C6D"/>
    <w:rPr>
      <w:rFonts w:eastAsia="Calibri"/>
      <w:sz w:val="28"/>
    </w:rPr>
  </w:style>
  <w:style w:type="character" w:customStyle="1" w:styleId="Virsraksts5Char">
    <w:name w:val="Virsraksts 5 Char"/>
    <w:link w:val="Virsraksts51"/>
    <w:qFormat/>
    <w:rsid w:val="00483C6D"/>
    <w:rPr>
      <w:rFonts w:eastAsia="Times New Roman"/>
      <w:b/>
      <w:i/>
      <w:color w:val="7030A0"/>
    </w:rPr>
  </w:style>
  <w:style w:type="character" w:customStyle="1" w:styleId="virsraksts6Char">
    <w:name w:val="virsraksts 6 Char"/>
    <w:qFormat/>
    <w:rsid w:val="00483C6D"/>
    <w:rPr>
      <w:rFonts w:eastAsia="Times New Roman"/>
      <w:b/>
      <w:i/>
      <w:color w:val="500E8D"/>
      <w:sz w:val="26"/>
    </w:rPr>
  </w:style>
  <w:style w:type="character" w:customStyle="1" w:styleId="Virsraksts1Char">
    <w:name w:val="Virsraksts 1 Char"/>
    <w:link w:val="Virsraksts11"/>
    <w:qFormat/>
    <w:rsid w:val="006179BB"/>
    <w:rPr>
      <w:rFonts w:eastAsia="Calibri"/>
      <w:b/>
      <w:color w:val="500E8D"/>
      <w:sz w:val="28"/>
      <w:szCs w:val="28"/>
      <w:lang w:eastAsia="lv-LV"/>
    </w:rPr>
  </w:style>
  <w:style w:type="character" w:customStyle="1" w:styleId="Virsraksts2Char">
    <w:name w:val="Virsraksts 2 Char"/>
    <w:link w:val="Virsraksts21"/>
    <w:qFormat/>
    <w:rsid w:val="006179BB"/>
    <w:rPr>
      <w:rFonts w:eastAsia="Times New Roman"/>
      <w:b/>
      <w:color w:val="500E8D"/>
      <w:sz w:val="28"/>
      <w:szCs w:val="28"/>
    </w:rPr>
  </w:style>
  <w:style w:type="character" w:customStyle="1" w:styleId="Virsraksts3Char">
    <w:name w:val="Virsraksts 3 Char"/>
    <w:link w:val="Virsraksts31"/>
    <w:qFormat/>
    <w:rsid w:val="006179BB"/>
    <w:rPr>
      <w:rFonts w:eastAsia="Times New Roman"/>
      <w:b/>
      <w:color w:val="500E8D"/>
      <w:sz w:val="26"/>
      <w:szCs w:val="26"/>
    </w:rPr>
  </w:style>
  <w:style w:type="character" w:customStyle="1" w:styleId="Virsraksts5Rakstz">
    <w:name w:val="Virsraksts 5 Rakstz."/>
    <w:basedOn w:val="Noklusjumarindkopasfonts"/>
    <w:link w:val="Virsraksts5"/>
    <w:uiPriority w:val="9"/>
    <w:qFormat/>
    <w:rsid w:val="002368F5"/>
    <w:rPr>
      <w:i/>
      <w:sz w:val="22"/>
      <w:szCs w:val="22"/>
    </w:rPr>
  </w:style>
  <w:style w:type="character" w:customStyle="1" w:styleId="Virsraksts6Rakstz">
    <w:name w:val="Virsraksts 6 Rakstz."/>
    <w:basedOn w:val="Noklusjumarindkopasfonts"/>
    <w:link w:val="virsraksts60"/>
    <w:uiPriority w:val="9"/>
    <w:qFormat/>
    <w:rsid w:val="00C41940"/>
    <w:rPr>
      <w:b/>
      <w:sz w:val="22"/>
      <w:szCs w:val="22"/>
      <w:lang w:eastAsia="en-US"/>
    </w:rPr>
  </w:style>
  <w:style w:type="character" w:customStyle="1" w:styleId="PamattekstsRakstz">
    <w:name w:val="Pamatteksts Rakstz."/>
    <w:basedOn w:val="Noklusjumarindkopasfonts"/>
    <w:link w:val="Pamatteksts"/>
    <w:uiPriority w:val="99"/>
    <w:qFormat/>
    <w:rsid w:val="00A66E39"/>
    <w:rPr>
      <w:sz w:val="22"/>
      <w:szCs w:val="22"/>
      <w:lang w:eastAsia="en-US"/>
    </w:rPr>
  </w:style>
  <w:style w:type="character" w:customStyle="1" w:styleId="Virsraksts7Rakstz">
    <w:name w:val="Virsraksts 7 Rakstz."/>
    <w:basedOn w:val="Noklusjumarindkopasfonts"/>
    <w:link w:val="Virsraksts7"/>
    <w:uiPriority w:val="9"/>
    <w:qFormat/>
    <w:rsid w:val="00B26480"/>
    <w:rPr>
      <w:rFonts w:eastAsiaTheme="minorHAnsi"/>
      <w:b/>
      <w:bCs/>
      <w:sz w:val="22"/>
      <w:szCs w:val="22"/>
      <w:lang w:eastAsia="en-US"/>
    </w:rPr>
  </w:style>
  <w:style w:type="character" w:customStyle="1" w:styleId="Pamatteksts3Rakstz">
    <w:name w:val="Pamatteksts 3 Rakstz."/>
    <w:basedOn w:val="Noklusjumarindkopasfonts"/>
    <w:link w:val="Pamatteksts3"/>
    <w:uiPriority w:val="99"/>
    <w:qFormat/>
    <w:rsid w:val="00B9131E"/>
    <w:rPr>
      <w:rFonts w:ascii="Times New Roman,Bold" w:eastAsiaTheme="minorHAnsi" w:hAnsi="Times New Roman,Bold" w:cs="Times New Roman,Bold"/>
      <w:bCs/>
      <w:color w:val="000000"/>
      <w:sz w:val="22"/>
      <w:szCs w:val="22"/>
      <w:lang w:eastAsia="en-US"/>
    </w:rPr>
  </w:style>
  <w:style w:type="character" w:customStyle="1" w:styleId="Virsraksts8Rakstz">
    <w:name w:val="Virsraksts 8 Rakstz."/>
    <w:basedOn w:val="Noklusjumarindkopasfonts"/>
    <w:link w:val="Virsraksts8"/>
    <w:uiPriority w:val="9"/>
    <w:qFormat/>
    <w:rsid w:val="00134638"/>
    <w:rPr>
      <w:rFonts w:eastAsiaTheme="minorHAnsi"/>
      <w:i/>
      <w:sz w:val="22"/>
      <w:szCs w:val="22"/>
    </w:rPr>
  </w:style>
  <w:style w:type="character" w:customStyle="1" w:styleId="Virsraksts9Rakstz">
    <w:name w:val="Virsraksts 9 Rakstz."/>
    <w:basedOn w:val="Noklusjumarindkopasfonts"/>
    <w:link w:val="Virsraksts9"/>
    <w:uiPriority w:val="9"/>
    <w:qFormat/>
    <w:rsid w:val="00EB1A66"/>
    <w:rPr>
      <w:rFonts w:eastAsiaTheme="minorHAnsi"/>
      <w:i/>
      <w:sz w:val="22"/>
      <w:szCs w:val="22"/>
      <w:lang w:eastAsia="en-US"/>
    </w:rPr>
  </w:style>
  <w:style w:type="character" w:customStyle="1" w:styleId="PamattekstsaratkpiRakstz">
    <w:name w:val="Pamatteksts ar atkāpi Rakstz."/>
    <w:basedOn w:val="Noklusjumarindkopasfonts"/>
    <w:link w:val="Pamattekstsaratkpi"/>
    <w:uiPriority w:val="99"/>
    <w:semiHidden/>
    <w:qFormat/>
    <w:rsid w:val="00A00277"/>
    <w:rPr>
      <w:sz w:val="24"/>
      <w:szCs w:val="24"/>
      <w:lang w:eastAsia="en-US"/>
    </w:rPr>
  </w:style>
  <w:style w:type="character" w:customStyle="1" w:styleId="Pamattekstaatkpe2Rakstz">
    <w:name w:val="Pamatteksta atkāpe 2 Rakstz."/>
    <w:basedOn w:val="Noklusjumarindkopasfonts"/>
    <w:link w:val="Pamattekstaatkpe2"/>
    <w:uiPriority w:val="99"/>
    <w:qFormat/>
    <w:rsid w:val="001C7172"/>
    <w:rPr>
      <w:rFonts w:eastAsia="Times New Roman"/>
      <w:sz w:val="22"/>
      <w:szCs w:val="22"/>
    </w:rPr>
  </w:style>
  <w:style w:type="character" w:styleId="Vietturateksts">
    <w:name w:val="Placeholder Text"/>
    <w:basedOn w:val="Noklusjumarindkopasfonts"/>
    <w:uiPriority w:val="99"/>
    <w:semiHidden/>
    <w:qFormat/>
    <w:rsid w:val="006559C7"/>
    <w:rPr>
      <w:color w:val="808080"/>
    </w:rPr>
  </w:style>
  <w:style w:type="character" w:customStyle="1" w:styleId="Pamattekstaatkpe3Rakstz">
    <w:name w:val="Pamatteksta atkāpe 3 Rakstz."/>
    <w:basedOn w:val="Noklusjumarindkopasfonts"/>
    <w:link w:val="Pamattekstaatkpe3"/>
    <w:uiPriority w:val="99"/>
    <w:qFormat/>
    <w:rsid w:val="00D34090"/>
    <w:rPr>
      <w:rFonts w:eastAsia="Times New Roman"/>
      <w:sz w:val="22"/>
      <w:szCs w:val="22"/>
      <w:lang w:eastAsia="en-US"/>
    </w:rPr>
  </w:style>
  <w:style w:type="character" w:customStyle="1" w:styleId="IndexLink">
    <w:name w:val="Index Link"/>
    <w:qFormat/>
  </w:style>
  <w:style w:type="character" w:customStyle="1" w:styleId="LineNumbering">
    <w:name w:val="Line Numbering"/>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link w:val="PamattekstsRakstz"/>
    <w:uiPriority w:val="99"/>
    <w:unhideWhenUsed/>
    <w:rsid w:val="00A66E39"/>
    <w:rPr>
      <w:sz w:val="22"/>
      <w:szCs w:val="22"/>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rPr>
  </w:style>
  <w:style w:type="paragraph" w:customStyle="1" w:styleId="Index">
    <w:name w:val="Index"/>
    <w:basedOn w:val="Parasts"/>
    <w:qFormat/>
    <w:pPr>
      <w:suppressLineNumbers/>
    </w:pPr>
    <w:rPr>
      <w:rFonts w:cs="Lucida Sans"/>
    </w:rPr>
  </w:style>
  <w:style w:type="paragraph" w:styleId="Balonteksts">
    <w:name w:val="Balloon Text"/>
    <w:basedOn w:val="Parasts"/>
    <w:link w:val="BalontekstsRakstz"/>
    <w:uiPriority w:val="99"/>
    <w:semiHidden/>
    <w:unhideWhenUsed/>
    <w:qFormat/>
    <w:rsid w:val="003B58BB"/>
    <w:pPr>
      <w:spacing w:after="0" w:line="240" w:lineRule="auto"/>
    </w:pPr>
    <w:rPr>
      <w:rFonts w:ascii="Tahoma" w:hAnsi="Tahoma" w:cs="Tahoma"/>
      <w:sz w:val="16"/>
      <w:szCs w:val="16"/>
    </w:rPr>
  </w:style>
  <w:style w:type="paragraph" w:customStyle="1" w:styleId="Default">
    <w:name w:val="Default"/>
    <w:uiPriority w:val="99"/>
    <w:qFormat/>
    <w:rsid w:val="00F51F9D"/>
    <w:pPr>
      <w:spacing w:after="200" w:line="276" w:lineRule="auto"/>
      <w:jc w:val="both"/>
    </w:pPr>
    <w:rPr>
      <w:color w:val="000000"/>
      <w:sz w:val="24"/>
      <w:szCs w:val="24"/>
    </w:rPr>
  </w:style>
  <w:style w:type="paragraph" w:styleId="Sarakstarindkopa">
    <w:name w:val="List Paragraph"/>
    <w:basedOn w:val="Parasts"/>
    <w:uiPriority w:val="99"/>
    <w:qFormat/>
    <w:rsid w:val="00483C6D"/>
    <w:pPr>
      <w:ind w:left="720"/>
      <w:contextualSpacing/>
    </w:pPr>
    <w:rPr>
      <w:rFonts w:ascii="Calibri" w:hAnsi="Calibri"/>
      <w:sz w:val="22"/>
      <w:szCs w:val="22"/>
      <w:lang w:eastAsia="lv-LV"/>
    </w:rPr>
  </w:style>
  <w:style w:type="paragraph" w:customStyle="1" w:styleId="HeaderandFooter">
    <w:name w:val="Header and Footer"/>
    <w:basedOn w:val="Parasts"/>
    <w:qFormat/>
  </w:style>
  <w:style w:type="paragraph" w:styleId="Galvene">
    <w:name w:val="header"/>
    <w:basedOn w:val="Parasts"/>
    <w:link w:val="GalveneRakstz"/>
    <w:uiPriority w:val="99"/>
    <w:rsid w:val="00483C6D"/>
    <w:pPr>
      <w:tabs>
        <w:tab w:val="center" w:pos="4153"/>
        <w:tab w:val="right" w:pos="8306"/>
      </w:tabs>
      <w:spacing w:after="0" w:line="240" w:lineRule="auto"/>
    </w:pPr>
    <w:rPr>
      <w:rFonts w:ascii="Calibri" w:hAnsi="Calibri"/>
      <w:sz w:val="20"/>
      <w:szCs w:val="20"/>
      <w:lang w:eastAsia="lv-LV"/>
    </w:rPr>
  </w:style>
  <w:style w:type="paragraph" w:styleId="Kjene">
    <w:name w:val="footer"/>
    <w:basedOn w:val="Parasts"/>
    <w:link w:val="KjeneRakstz"/>
    <w:uiPriority w:val="99"/>
    <w:rsid w:val="00483C6D"/>
    <w:pPr>
      <w:tabs>
        <w:tab w:val="center" w:pos="4153"/>
        <w:tab w:val="right" w:pos="8306"/>
      </w:tabs>
      <w:spacing w:after="0" w:line="240" w:lineRule="auto"/>
    </w:pPr>
    <w:rPr>
      <w:rFonts w:ascii="Calibri" w:hAnsi="Calibri"/>
      <w:sz w:val="20"/>
      <w:szCs w:val="20"/>
      <w:lang w:eastAsia="lv-LV"/>
    </w:rPr>
  </w:style>
  <w:style w:type="paragraph" w:styleId="Bezatstarpm">
    <w:name w:val="No Spacing"/>
    <w:link w:val="BezatstarpmRakstz"/>
    <w:uiPriority w:val="1"/>
    <w:qFormat/>
    <w:rsid w:val="00483C6D"/>
    <w:pPr>
      <w:spacing w:after="200" w:line="276" w:lineRule="auto"/>
      <w:jc w:val="both"/>
    </w:pPr>
    <w:rPr>
      <w:rFonts w:ascii="Calibri" w:hAnsi="Calibri"/>
    </w:rPr>
  </w:style>
  <w:style w:type="paragraph" w:styleId="Vresteksts">
    <w:name w:val="footnote text"/>
    <w:basedOn w:val="Parasts"/>
    <w:link w:val="VrestekstsRakstz"/>
    <w:uiPriority w:val="99"/>
    <w:semiHidden/>
    <w:rsid w:val="00483C6D"/>
    <w:rPr>
      <w:rFonts w:ascii="Calibri" w:eastAsia="Times New Roman" w:hAnsi="Calibri"/>
      <w:sz w:val="20"/>
      <w:szCs w:val="20"/>
      <w:lang w:eastAsia="lv-LV"/>
    </w:rPr>
  </w:style>
  <w:style w:type="paragraph" w:customStyle="1" w:styleId="Bodytext1">
    <w:name w:val="Body text1"/>
    <w:basedOn w:val="Parasts"/>
    <w:link w:val="Bodytext"/>
    <w:uiPriority w:val="99"/>
    <w:qFormat/>
    <w:rsid w:val="00483C6D"/>
    <w:pPr>
      <w:shd w:val="clear" w:color="auto" w:fill="FFFFFF"/>
      <w:spacing w:after="480" w:line="518" w:lineRule="exact"/>
      <w:ind w:hanging="540"/>
    </w:pPr>
    <w:rPr>
      <w:rFonts w:ascii="Verdana" w:hAnsi="Verdana"/>
      <w:sz w:val="23"/>
    </w:rPr>
  </w:style>
  <w:style w:type="paragraph" w:styleId="Komentrateksts">
    <w:name w:val="annotation text"/>
    <w:basedOn w:val="Parasts"/>
    <w:link w:val="KomentratekstsRakstz"/>
    <w:uiPriority w:val="99"/>
    <w:qFormat/>
    <w:rsid w:val="00483C6D"/>
    <w:pPr>
      <w:spacing w:after="0" w:line="240" w:lineRule="auto"/>
    </w:pPr>
    <w:rPr>
      <w:sz w:val="20"/>
      <w:szCs w:val="20"/>
      <w:lang w:eastAsia="lv-LV"/>
    </w:rPr>
  </w:style>
  <w:style w:type="paragraph" w:styleId="Paraststmeklis">
    <w:name w:val="Normal (Web)"/>
    <w:basedOn w:val="Parasts"/>
    <w:uiPriority w:val="99"/>
    <w:qFormat/>
    <w:rsid w:val="00483C6D"/>
    <w:rPr>
      <w:lang w:eastAsia="lv-LV"/>
    </w:rPr>
  </w:style>
  <w:style w:type="paragraph" w:styleId="Saturardtjavirsraksts">
    <w:name w:val="TOC Heading"/>
    <w:basedOn w:val="Virsraksts10"/>
    <w:next w:val="Parasts"/>
    <w:uiPriority w:val="39"/>
    <w:qFormat/>
    <w:rsid w:val="00483C6D"/>
    <w:pPr>
      <w:outlineLvl w:val="9"/>
    </w:pPr>
    <w:rPr>
      <w:lang w:val="en-US" w:eastAsia="en-US"/>
    </w:rPr>
  </w:style>
  <w:style w:type="paragraph" w:styleId="Saturs2">
    <w:name w:val="toc 2"/>
    <w:basedOn w:val="Parasts"/>
    <w:next w:val="Parasts"/>
    <w:autoRedefine/>
    <w:uiPriority w:val="39"/>
    <w:rsid w:val="00483C6D"/>
    <w:pPr>
      <w:spacing w:after="100"/>
      <w:ind w:left="220"/>
    </w:pPr>
    <w:rPr>
      <w:rFonts w:ascii="Calibri" w:hAnsi="Calibri"/>
      <w:sz w:val="22"/>
      <w:szCs w:val="22"/>
      <w:lang w:val="en-US"/>
    </w:rPr>
  </w:style>
  <w:style w:type="paragraph" w:styleId="Saturs1">
    <w:name w:val="toc 1"/>
    <w:basedOn w:val="Parasts"/>
    <w:next w:val="Parasts"/>
    <w:autoRedefine/>
    <w:uiPriority w:val="39"/>
    <w:rsid w:val="00D71616"/>
    <w:pPr>
      <w:spacing w:after="100"/>
    </w:pPr>
    <w:rPr>
      <w:color w:val="7030A0"/>
      <w:szCs w:val="22"/>
      <w:lang w:val="en-US"/>
    </w:rPr>
  </w:style>
  <w:style w:type="paragraph" w:styleId="Saturs3">
    <w:name w:val="toc 3"/>
    <w:basedOn w:val="Parasts"/>
    <w:next w:val="Parasts"/>
    <w:autoRedefine/>
    <w:uiPriority w:val="39"/>
    <w:rsid w:val="00483C6D"/>
    <w:pPr>
      <w:spacing w:after="100"/>
      <w:ind w:left="440"/>
    </w:pPr>
    <w:rPr>
      <w:rFonts w:ascii="Calibri" w:hAnsi="Calibri"/>
      <w:sz w:val="22"/>
      <w:szCs w:val="22"/>
      <w:lang w:val="en-US"/>
    </w:rPr>
  </w:style>
  <w:style w:type="paragraph" w:customStyle="1" w:styleId="76608A07321344F88504CED91DFFE135">
    <w:name w:val="76608A07321344F88504CED91DFFE135"/>
    <w:uiPriority w:val="99"/>
    <w:qFormat/>
    <w:rsid w:val="00483C6D"/>
    <w:pPr>
      <w:spacing w:after="200" w:line="276" w:lineRule="auto"/>
      <w:jc w:val="both"/>
    </w:pPr>
    <w:rPr>
      <w:rFonts w:ascii="Calibri" w:hAnsi="Calibri"/>
      <w:sz w:val="22"/>
      <w:szCs w:val="22"/>
      <w:lang w:val="en-US" w:eastAsia="en-US"/>
    </w:rPr>
  </w:style>
  <w:style w:type="paragraph" w:styleId="Beiguvresteksts">
    <w:name w:val="endnote text"/>
    <w:basedOn w:val="Parasts"/>
    <w:link w:val="BeiguvrestekstsRakstz"/>
    <w:uiPriority w:val="99"/>
    <w:semiHidden/>
    <w:rsid w:val="00483C6D"/>
    <w:pPr>
      <w:spacing w:after="0" w:line="240" w:lineRule="auto"/>
    </w:pPr>
    <w:rPr>
      <w:rFonts w:ascii="Calibri" w:eastAsia="Times New Roman" w:hAnsi="Calibri"/>
      <w:sz w:val="20"/>
      <w:szCs w:val="20"/>
      <w:lang w:eastAsia="lv-LV"/>
    </w:rPr>
  </w:style>
  <w:style w:type="paragraph" w:styleId="Komentratma">
    <w:name w:val="annotation subject"/>
    <w:basedOn w:val="Komentrateksts"/>
    <w:next w:val="Komentrateksts"/>
    <w:link w:val="KomentratmaRakstz"/>
    <w:uiPriority w:val="99"/>
    <w:semiHidden/>
    <w:qFormat/>
    <w:rsid w:val="00483C6D"/>
    <w:pPr>
      <w:spacing w:after="200"/>
    </w:pPr>
    <w:rPr>
      <w:b/>
      <w:bCs/>
    </w:rPr>
  </w:style>
  <w:style w:type="paragraph" w:customStyle="1" w:styleId="bodytextkeep">
    <w:name w:val="bodytextkeep"/>
    <w:basedOn w:val="Parasts"/>
    <w:uiPriority w:val="99"/>
    <w:qFormat/>
    <w:rsid w:val="00483C6D"/>
    <w:pPr>
      <w:spacing w:beforeAutospacing="1" w:afterAutospacing="1" w:line="240" w:lineRule="auto"/>
    </w:pPr>
    <w:rPr>
      <w:lang w:eastAsia="lv-LV"/>
    </w:rPr>
  </w:style>
  <w:style w:type="paragraph" w:customStyle="1" w:styleId="tv2131">
    <w:name w:val="tv2131"/>
    <w:basedOn w:val="Parasts"/>
    <w:uiPriority w:val="99"/>
    <w:qFormat/>
    <w:rsid w:val="00483C6D"/>
    <w:pPr>
      <w:spacing w:after="0" w:line="360" w:lineRule="auto"/>
      <w:ind w:firstLine="300"/>
    </w:pPr>
    <w:rPr>
      <w:color w:val="414142"/>
      <w:sz w:val="20"/>
      <w:szCs w:val="20"/>
      <w:lang w:eastAsia="lv-LV"/>
    </w:rPr>
  </w:style>
  <w:style w:type="paragraph" w:styleId="Pamatteksts2">
    <w:name w:val="Body Text 2"/>
    <w:basedOn w:val="Parasts"/>
    <w:link w:val="Pamatteksts2Rakstz"/>
    <w:uiPriority w:val="99"/>
    <w:qFormat/>
    <w:rsid w:val="00483C6D"/>
    <w:pPr>
      <w:spacing w:after="0" w:line="240" w:lineRule="auto"/>
    </w:pPr>
    <w:rPr>
      <w:b/>
      <w:bCs/>
      <w:sz w:val="28"/>
    </w:rPr>
  </w:style>
  <w:style w:type="paragraph" w:styleId="Nosaukums">
    <w:name w:val="Title"/>
    <w:basedOn w:val="Parasts"/>
    <w:link w:val="NosaukumsRakstz"/>
    <w:uiPriority w:val="99"/>
    <w:qFormat/>
    <w:rsid w:val="00483C6D"/>
    <w:pPr>
      <w:spacing w:after="0" w:line="240" w:lineRule="auto"/>
      <w:jc w:val="center"/>
    </w:pPr>
    <w:rPr>
      <w:sz w:val="28"/>
    </w:rPr>
  </w:style>
  <w:style w:type="paragraph" w:customStyle="1" w:styleId="VIRSRAKSTS1">
    <w:name w:val="VIRSRAKSTS1"/>
    <w:basedOn w:val="Sarakstarindkopa"/>
    <w:uiPriority w:val="99"/>
    <w:qFormat/>
    <w:rsid w:val="00483C6D"/>
    <w:pPr>
      <w:numPr>
        <w:numId w:val="4"/>
      </w:numPr>
      <w:tabs>
        <w:tab w:val="left" w:pos="284"/>
      </w:tabs>
      <w:ind w:left="0" w:firstLine="0"/>
    </w:pPr>
    <w:rPr>
      <w:rFonts w:ascii="Times New Roman" w:hAnsi="Times New Roman"/>
      <w:b/>
      <w:color w:val="500E8D"/>
      <w:sz w:val="28"/>
      <w:szCs w:val="28"/>
    </w:rPr>
  </w:style>
  <w:style w:type="paragraph" w:customStyle="1" w:styleId="VIRSRskts2">
    <w:name w:val="VIRSRskts 2"/>
    <w:basedOn w:val="Parasts"/>
    <w:uiPriority w:val="99"/>
    <w:qFormat/>
    <w:rsid w:val="00483C6D"/>
    <w:rPr>
      <w:rFonts w:eastAsia="Times New Roman"/>
      <w:b/>
      <w:color w:val="500E8D"/>
      <w:sz w:val="28"/>
      <w:szCs w:val="28"/>
    </w:rPr>
  </w:style>
  <w:style w:type="paragraph" w:customStyle="1" w:styleId="VIRraksts3">
    <w:name w:val="VIRraksts3"/>
    <w:basedOn w:val="VIRSRAKSTS1"/>
    <w:uiPriority w:val="99"/>
    <w:qFormat/>
    <w:rsid w:val="00483C6D"/>
    <w:pPr>
      <w:numPr>
        <w:numId w:val="0"/>
      </w:numPr>
    </w:pPr>
  </w:style>
  <w:style w:type="paragraph" w:customStyle="1" w:styleId="VIRSRAKSTS40">
    <w:name w:val="VIRSRAKSTS4"/>
    <w:basedOn w:val="Parasts"/>
    <w:uiPriority w:val="99"/>
    <w:qFormat/>
    <w:rsid w:val="00483C6D"/>
    <w:rPr>
      <w:rFonts w:eastAsia="Times New Roman"/>
      <w:b/>
      <w:color w:val="500E8D"/>
      <w:sz w:val="26"/>
      <w:szCs w:val="26"/>
    </w:rPr>
  </w:style>
  <w:style w:type="paragraph" w:customStyle="1" w:styleId="Virsraksts51">
    <w:name w:val="Virsraksts 51"/>
    <w:basedOn w:val="Parasts"/>
    <w:link w:val="Virsraksts5Char"/>
    <w:qFormat/>
    <w:rsid w:val="00483C6D"/>
    <w:rPr>
      <w:rFonts w:eastAsia="Times New Roman"/>
      <w:b/>
      <w:i/>
      <w:color w:val="7030A0"/>
    </w:rPr>
  </w:style>
  <w:style w:type="paragraph" w:customStyle="1" w:styleId="virsraksts60">
    <w:name w:val="virsraksts 6"/>
    <w:basedOn w:val="Parasts"/>
    <w:link w:val="Virsraksts6Rakstz"/>
    <w:qFormat/>
    <w:rsid w:val="00483C6D"/>
    <w:rPr>
      <w:rFonts w:eastAsia="Times New Roman"/>
      <w:b/>
      <w:i/>
      <w:color w:val="500E8D"/>
      <w:sz w:val="26"/>
    </w:rPr>
  </w:style>
  <w:style w:type="paragraph" w:styleId="Saturs4">
    <w:name w:val="toc 4"/>
    <w:basedOn w:val="Parasts"/>
    <w:next w:val="Parasts"/>
    <w:autoRedefine/>
    <w:uiPriority w:val="39"/>
    <w:rsid w:val="00483C6D"/>
    <w:pPr>
      <w:ind w:left="660"/>
    </w:pPr>
    <w:rPr>
      <w:rFonts w:ascii="Calibri" w:eastAsia="Times New Roman" w:hAnsi="Calibri"/>
      <w:sz w:val="22"/>
      <w:szCs w:val="22"/>
    </w:rPr>
  </w:style>
  <w:style w:type="paragraph" w:customStyle="1" w:styleId="Virsraksts11">
    <w:name w:val="Virsraksts 11"/>
    <w:basedOn w:val="Parasts"/>
    <w:link w:val="Virsraksts1Char"/>
    <w:qFormat/>
    <w:rsid w:val="006179BB"/>
    <w:pPr>
      <w:tabs>
        <w:tab w:val="left" w:pos="284"/>
      </w:tabs>
      <w:contextualSpacing/>
    </w:pPr>
    <w:rPr>
      <w:b/>
      <w:color w:val="500E8D"/>
      <w:sz w:val="28"/>
      <w:szCs w:val="28"/>
      <w:lang w:eastAsia="lv-LV"/>
    </w:rPr>
  </w:style>
  <w:style w:type="paragraph" w:customStyle="1" w:styleId="Virsraksts21">
    <w:name w:val="Virsraksts 21"/>
    <w:basedOn w:val="Parasts"/>
    <w:link w:val="Virsraksts2Char"/>
    <w:qFormat/>
    <w:rsid w:val="006179BB"/>
    <w:rPr>
      <w:rFonts w:eastAsia="Times New Roman"/>
      <w:b/>
      <w:color w:val="500E8D"/>
      <w:sz w:val="28"/>
      <w:szCs w:val="28"/>
    </w:rPr>
  </w:style>
  <w:style w:type="paragraph" w:customStyle="1" w:styleId="Virsraksts31">
    <w:name w:val="Virsraksts 31"/>
    <w:basedOn w:val="Parasts"/>
    <w:link w:val="Virsraksts3Char"/>
    <w:qFormat/>
    <w:rsid w:val="006179BB"/>
    <w:rPr>
      <w:rFonts w:eastAsia="Times New Roman"/>
      <w:b/>
      <w:color w:val="500E8D"/>
      <w:sz w:val="26"/>
      <w:szCs w:val="26"/>
    </w:rPr>
  </w:style>
  <w:style w:type="paragraph" w:styleId="Saturs6">
    <w:name w:val="toc 6"/>
    <w:basedOn w:val="Parasts"/>
    <w:next w:val="Parasts"/>
    <w:autoRedefine/>
    <w:uiPriority w:val="39"/>
    <w:semiHidden/>
    <w:unhideWhenUsed/>
    <w:rsid w:val="00D71616"/>
    <w:pPr>
      <w:spacing w:after="100"/>
      <w:ind w:left="1200"/>
    </w:pPr>
    <w:rPr>
      <w:color w:val="7030A0"/>
    </w:rPr>
  </w:style>
  <w:style w:type="paragraph" w:styleId="Pamatteksts3">
    <w:name w:val="Body Text 3"/>
    <w:basedOn w:val="Parasts"/>
    <w:link w:val="Pamatteksts3Rakstz"/>
    <w:uiPriority w:val="99"/>
    <w:unhideWhenUsed/>
    <w:qFormat/>
    <w:rsid w:val="00B9131E"/>
    <w:pPr>
      <w:tabs>
        <w:tab w:val="left" w:pos="477"/>
      </w:tabs>
    </w:pPr>
    <w:rPr>
      <w:rFonts w:ascii="Times New Roman,Bold" w:eastAsiaTheme="minorHAnsi" w:hAnsi="Times New Roman,Bold" w:cs="Times New Roman,Bold"/>
      <w:bCs/>
      <w:color w:val="000000"/>
      <w:sz w:val="22"/>
      <w:szCs w:val="22"/>
    </w:rPr>
  </w:style>
  <w:style w:type="paragraph" w:styleId="Pamattekstsaratkpi">
    <w:name w:val="Body Text Indent"/>
    <w:basedOn w:val="Parasts"/>
    <w:link w:val="PamattekstsaratkpiRakstz"/>
    <w:uiPriority w:val="99"/>
    <w:semiHidden/>
    <w:unhideWhenUsed/>
    <w:rsid w:val="00A00277"/>
    <w:pPr>
      <w:spacing w:after="120"/>
      <w:ind w:left="283"/>
    </w:pPr>
  </w:style>
  <w:style w:type="paragraph" w:styleId="Pamattekstaatkpe2">
    <w:name w:val="Body Text Indent 2"/>
    <w:basedOn w:val="Parasts"/>
    <w:link w:val="Pamattekstaatkpe2Rakstz"/>
    <w:uiPriority w:val="99"/>
    <w:unhideWhenUsed/>
    <w:qFormat/>
    <w:rsid w:val="001C7172"/>
    <w:pPr>
      <w:spacing w:after="0" w:line="240" w:lineRule="auto"/>
      <w:ind w:firstLine="709"/>
    </w:pPr>
    <w:rPr>
      <w:rFonts w:eastAsia="Times New Roman"/>
      <w:sz w:val="22"/>
      <w:szCs w:val="22"/>
      <w:lang w:eastAsia="lv-LV"/>
    </w:rPr>
  </w:style>
  <w:style w:type="paragraph" w:customStyle="1" w:styleId="TableParagraph">
    <w:name w:val="Table Paragraph"/>
    <w:basedOn w:val="Parasts"/>
    <w:uiPriority w:val="1"/>
    <w:qFormat/>
    <w:rsid w:val="008C04D5"/>
    <w:pPr>
      <w:widowControl w:val="0"/>
      <w:spacing w:after="0" w:line="240" w:lineRule="auto"/>
    </w:pPr>
    <w:rPr>
      <w:rFonts w:ascii="Arial" w:eastAsia="Arial" w:hAnsi="Arial" w:cs="Arial"/>
      <w:sz w:val="22"/>
      <w:szCs w:val="22"/>
      <w:lang w:val="en-US"/>
    </w:rPr>
  </w:style>
  <w:style w:type="paragraph" w:styleId="Pamattekstaatkpe3">
    <w:name w:val="Body Text Indent 3"/>
    <w:basedOn w:val="Parasts"/>
    <w:link w:val="Pamattekstaatkpe3Rakstz"/>
    <w:uiPriority w:val="99"/>
    <w:unhideWhenUsed/>
    <w:qFormat/>
    <w:rsid w:val="00D34090"/>
    <w:pPr>
      <w:tabs>
        <w:tab w:val="left" w:pos="709"/>
      </w:tabs>
      <w:ind w:left="357"/>
      <w:contextualSpacing/>
    </w:pPr>
    <w:rPr>
      <w:rFonts w:eastAsia="Times New Roman"/>
      <w:sz w:val="22"/>
      <w:szCs w:val="22"/>
    </w:rPr>
  </w:style>
  <w:style w:type="paragraph" w:customStyle="1" w:styleId="msonormal0">
    <w:name w:val="msonormal"/>
    <w:basedOn w:val="Parasts"/>
    <w:uiPriority w:val="99"/>
    <w:qFormat/>
    <w:rsid w:val="003726F1"/>
    <w:pPr>
      <w:jc w:val="left"/>
    </w:pPr>
    <w:rPr>
      <w:lang w:eastAsia="lv-LV"/>
    </w:rPr>
  </w:style>
  <w:style w:type="paragraph" w:customStyle="1" w:styleId="FrameContents">
    <w:name w:val="Frame Contents"/>
    <w:basedOn w:val="Parasts"/>
    <w:qFormat/>
  </w:style>
  <w:style w:type="paragraph" w:styleId="Prskatjums">
    <w:name w:val="Revision"/>
    <w:uiPriority w:val="99"/>
    <w:semiHidden/>
    <w:qFormat/>
    <w:rsid w:val="009E20E6"/>
    <w:pPr>
      <w:suppressAutoHyphens w:val="0"/>
    </w:pPr>
    <w:rPr>
      <w:sz w:val="24"/>
      <w:szCs w:val="24"/>
      <w:lang w:eastAsia="en-US"/>
    </w:rPr>
  </w:style>
  <w:style w:type="table" w:styleId="Reatabula">
    <w:name w:val="Table Grid"/>
    <w:basedOn w:val="Parastatabula"/>
    <w:uiPriority w:val="39"/>
    <w:rsid w:val="00483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rsid w:val="00483C6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4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483C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Parastatabula"/>
    <w:uiPriority w:val="59"/>
    <w:rsid w:val="00101D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uiPriority w:val="59"/>
    <w:rsid w:val="00C35A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uiPriority w:val="59"/>
    <w:rsid w:val="004140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uiPriority w:val="59"/>
    <w:rsid w:val="00A77B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uiPriority w:val="59"/>
    <w:rsid w:val="008D7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uiPriority w:val="59"/>
    <w:rsid w:val="006237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uiPriority w:val="59"/>
    <w:rsid w:val="00082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uiPriority w:val="59"/>
    <w:rsid w:val="00481D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uiPriority w:val="59"/>
    <w:rsid w:val="005B6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uiPriority w:val="59"/>
    <w:rsid w:val="00822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uiPriority w:val="59"/>
    <w:rsid w:val="001668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uiPriority w:val="59"/>
    <w:rsid w:val="00B161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uiPriority w:val="59"/>
    <w:rsid w:val="00E17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uiPriority w:val="59"/>
    <w:rsid w:val="00F52F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uiPriority w:val="59"/>
    <w:rsid w:val="00F52F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Parastatabula"/>
    <w:uiPriority w:val="59"/>
    <w:rsid w:val="00AD5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uiPriority w:val="59"/>
    <w:rsid w:val="009F46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Parastatabula"/>
    <w:uiPriority w:val="59"/>
    <w:rsid w:val="009732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Parastatabula"/>
    <w:uiPriority w:val="59"/>
    <w:rsid w:val="008330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uiPriority w:val="59"/>
    <w:rsid w:val="009C2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Parastatabula"/>
    <w:uiPriority w:val="59"/>
    <w:rsid w:val="003439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kumi.lv/doc.php?id=50759" TargetMode="Externa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likumi.lv/doc.php?id=256415"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56415" TargetMode="Externa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6.png"/><Relationship Id="rId10" Type="http://schemas.openxmlformats.org/officeDocument/2006/relationships/hyperlink" Target="http://www.ikvd.gov.lv/"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kumi.lv/doc.php?id=256415" TargetMode="External"/><Relationship Id="rId22" Type="http://schemas.openxmlformats.org/officeDocument/2006/relationships/chart" Target="charts/chart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kvd.gov.lv/lv/jaunums/skolenu-liecibas-veiktajiem-ierakstiem-ir-jabut-skaidriem-un-neparprotamiem" TargetMode="External"/><Relationship Id="rId1" Type="http://schemas.openxmlformats.org/officeDocument/2006/relationships/hyperlink" Target="https://www.ikvd.gov.lv/lv/jaunums/pasvaldibu-pedagogiski-medicinisko-komisiju-izsniegtie-atzinumi-ir-piemerojami-tikai-lidz-4-klase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v-LV"/>
  <c:roundedCorners val="0"/>
  <c:style val="2"/>
  <c:chart>
    <c:title>
      <c:tx>
        <c:rich>
          <a:bodyPr rot="0"/>
          <a:lstStyle/>
          <a:p>
            <a:pPr>
              <a:defRPr lang="lv-LV" sz="1100" b="1" strike="noStrike" spc="-1">
                <a:solidFill>
                  <a:srgbClr val="000000"/>
                </a:solidFill>
                <a:latin typeface="Calibri"/>
              </a:defRPr>
            </a:pPr>
            <a:r>
              <a:rPr lang="lv-LV" sz="1100" b="1" strike="noStrike" spc="-1">
                <a:solidFill>
                  <a:srgbClr val="000000"/>
                </a:solidFill>
                <a:latin typeface="Calibri"/>
              </a:rPr>
              <a:t>2022.gadā licencēto vispārējās  izglītības programmu
 skaita sadalījums pa izglītības pakāpēm </a:t>
            </a:r>
          </a:p>
        </c:rich>
      </c:tx>
      <c:layout>
        <c:manualLayout>
          <c:xMode val="edge"/>
          <c:yMode val="edge"/>
          <c:x val="0.140465380249716"/>
          <c:y val="1.8205461638491498E-2"/>
        </c:manualLayout>
      </c:layout>
      <c:overlay val="0"/>
      <c:spPr>
        <a:noFill/>
        <a:ln w="0">
          <a:noFill/>
        </a:ln>
      </c:spPr>
    </c:title>
    <c:autoTitleDeleted val="0"/>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manualLayout>
          <c:layoutTarget val="inner"/>
          <c:xMode val="edge"/>
          <c:yMode val="edge"/>
          <c:x val="7.6249999999999998E-2"/>
          <c:y val="0.236777777777778"/>
          <c:w val="0.55725000000000002"/>
          <c:h val="0.69955555555555604"/>
        </c:manualLayout>
      </c:layout>
      <c:pie3DChart>
        <c:varyColors val="1"/>
        <c:ser>
          <c:idx val="0"/>
          <c:order val="0"/>
          <c:tx>
            <c:strRef>
              <c:f>label 0</c:f>
              <c:strCache>
                <c:ptCount val="1"/>
                <c:pt idx="0">
                  <c:v>Series1</c:v>
                </c:pt>
              </c:strCache>
            </c:strRef>
          </c:tx>
          <c:spPr>
            <a:solidFill>
              <a:srgbClr val="4F81BD"/>
            </a:solidFill>
            <a:ln w="0">
              <a:noFill/>
            </a:ln>
          </c:spPr>
          <c:explosion val="4"/>
          <c:dPt>
            <c:idx val="0"/>
            <c:bubble3D val="0"/>
            <c:spPr>
              <a:solidFill>
                <a:srgbClr val="4F81BD"/>
              </a:solidFill>
              <a:ln w="0">
                <a:noFill/>
              </a:ln>
            </c:spPr>
            <c:extLst>
              <c:ext xmlns:c16="http://schemas.microsoft.com/office/drawing/2014/chart" uri="{C3380CC4-5D6E-409C-BE32-E72D297353CC}">
                <c16:uniqueId val="{00000001-2B89-4696-945D-47B7A6A01B9F}"/>
              </c:ext>
            </c:extLst>
          </c:dPt>
          <c:dPt>
            <c:idx val="1"/>
            <c:bubble3D val="0"/>
            <c:spPr>
              <a:solidFill>
                <a:srgbClr val="C0504D"/>
              </a:solidFill>
              <a:ln w="0">
                <a:noFill/>
              </a:ln>
            </c:spPr>
            <c:extLst>
              <c:ext xmlns:c16="http://schemas.microsoft.com/office/drawing/2014/chart" uri="{C3380CC4-5D6E-409C-BE32-E72D297353CC}">
                <c16:uniqueId val="{00000003-2B89-4696-945D-47B7A6A01B9F}"/>
              </c:ext>
            </c:extLst>
          </c:dPt>
          <c:dPt>
            <c:idx val="2"/>
            <c:bubble3D val="0"/>
            <c:spPr>
              <a:solidFill>
                <a:srgbClr val="9BBB59"/>
              </a:solidFill>
              <a:ln w="0">
                <a:noFill/>
              </a:ln>
            </c:spPr>
            <c:extLst>
              <c:ext xmlns:c16="http://schemas.microsoft.com/office/drawing/2014/chart" uri="{C3380CC4-5D6E-409C-BE32-E72D297353CC}">
                <c16:uniqueId val="{00000005-2B89-4696-945D-47B7A6A01B9F}"/>
              </c:ext>
            </c:extLst>
          </c:dPt>
          <c:dLbls>
            <c:dLbl>
              <c:idx val="0"/>
              <c:spPr/>
              <c:txPr>
                <a:bodyPr wrap="square"/>
                <a:lstStyle/>
                <a:p>
                  <a:pPr>
                    <a:defRPr sz="1000" b="1" strike="noStrike" spc="-1">
                      <a:solidFill>
                        <a:srgbClr val="000000"/>
                      </a:solidFill>
                      <a:latin typeface="Calibri"/>
                    </a:defRPr>
                  </a:pPr>
                  <a:endParaRPr lang="en-US"/>
                </a:p>
              </c:txPr>
              <c:dLblPos val="outEnd"/>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1-2B89-4696-945D-47B7A6A01B9F}"/>
                </c:ext>
              </c:extLst>
            </c:dLbl>
            <c:dLbl>
              <c:idx val="1"/>
              <c:spPr/>
              <c:txPr>
                <a:bodyPr wrap="square"/>
                <a:lstStyle/>
                <a:p>
                  <a:pPr>
                    <a:defRPr sz="1000" b="1" strike="noStrike" spc="-1">
                      <a:solidFill>
                        <a:srgbClr val="000000"/>
                      </a:solidFill>
                      <a:latin typeface="Calibri"/>
                    </a:defRPr>
                  </a:pPr>
                  <a:endParaRPr lang="en-US"/>
                </a:p>
              </c:txPr>
              <c:dLblPos val="outEnd"/>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2B89-4696-945D-47B7A6A01B9F}"/>
                </c:ext>
              </c:extLst>
            </c:dLbl>
            <c:dLbl>
              <c:idx val="2"/>
              <c:spPr/>
              <c:txPr>
                <a:bodyPr wrap="square"/>
                <a:lstStyle/>
                <a:p>
                  <a:pPr>
                    <a:defRPr sz="1000" b="1" strike="noStrike" spc="-1">
                      <a:solidFill>
                        <a:srgbClr val="000000"/>
                      </a:solidFill>
                      <a:latin typeface="Calibri"/>
                    </a:defRPr>
                  </a:pPr>
                  <a:endParaRPr lang="en-US"/>
                </a:p>
              </c:txPr>
              <c:dLblPos val="outEnd"/>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5-2B89-4696-945D-47B7A6A01B9F}"/>
                </c:ext>
              </c:extLst>
            </c:dLbl>
            <c:spPr>
              <a:noFill/>
              <a:ln>
                <a:noFill/>
              </a:ln>
              <a:effectLst/>
            </c:spPr>
            <c:txPr>
              <a:bodyPr wrap="square"/>
              <a:lstStyle/>
              <a:p>
                <a:pPr>
                  <a:defRPr sz="1000" b="1" strike="noStrike" spc="-1">
                    <a:solidFill>
                      <a:srgbClr val="000000"/>
                    </a:solidFill>
                    <a:latin typeface="Calibri"/>
                  </a:defRPr>
                </a:pPr>
                <a:endParaRPr lang="en-US"/>
              </a:p>
            </c:txPr>
            <c:dLblPos val="bestFit"/>
            <c:showLegendKey val="0"/>
            <c:showVal val="1"/>
            <c:showCatName val="0"/>
            <c:showSerName val="0"/>
            <c:showPercent val="1"/>
            <c:showBubbleSize val="1"/>
            <c:separator>; </c:separator>
            <c:showLeaderLines val="1"/>
            <c:extLst>
              <c:ext xmlns:c15="http://schemas.microsoft.com/office/drawing/2012/chart" uri="{CE6537A1-D6FC-4f65-9D91-7224C49458BB}"/>
            </c:extLst>
          </c:dLbls>
          <c:cat>
            <c:strRef>
              <c:f>categories</c:f>
              <c:strCache>
                <c:ptCount val="3"/>
                <c:pt idx="0">
                  <c:v>Pirmsskola</c:v>
                </c:pt>
                <c:pt idx="1">
                  <c:v>Pamatizglītība</c:v>
                </c:pt>
                <c:pt idx="2">
                  <c:v>Vidējā izglītība</c:v>
                </c:pt>
              </c:strCache>
            </c:strRef>
          </c:cat>
          <c:val>
            <c:numRef>
              <c:f>0</c:f>
              <c:numCache>
                <c:formatCode>General</c:formatCode>
                <c:ptCount val="3"/>
                <c:pt idx="0">
                  <c:v>105</c:v>
                </c:pt>
                <c:pt idx="1">
                  <c:v>139</c:v>
                </c:pt>
                <c:pt idx="2">
                  <c:v>13</c:v>
                </c:pt>
              </c:numCache>
            </c:numRef>
          </c:val>
          <c:extLst>
            <c:ext xmlns:c16="http://schemas.microsoft.com/office/drawing/2014/chart" uri="{C3380CC4-5D6E-409C-BE32-E72D297353CC}">
              <c16:uniqueId val="{00000006-2B89-4696-945D-47B7A6A01B9F}"/>
            </c:ext>
          </c:extLst>
        </c:ser>
        <c:dLbls>
          <c:showLegendKey val="0"/>
          <c:showVal val="0"/>
          <c:showCatName val="0"/>
          <c:showSerName val="0"/>
          <c:showPercent val="0"/>
          <c:showBubbleSize val="0"/>
          <c:showLeaderLines val="1"/>
        </c:dLbls>
      </c:pie3DChart>
    </c:plotArea>
    <c:legend>
      <c:legendPos val="r"/>
      <c:layout>
        <c:manualLayout>
          <c:xMode val="edge"/>
          <c:yMode val="edge"/>
          <c:x val="0.66043750000000001"/>
          <c:y val="0.38866666666666699"/>
          <c:w val="0.26345396587286701"/>
          <c:h val="0.24936104011556801"/>
        </c:manualLayout>
      </c:layout>
      <c:overlay val="0"/>
      <c:spPr>
        <a:noFill/>
        <a:ln w="0">
          <a:noFill/>
        </a:ln>
      </c:spPr>
      <c:txPr>
        <a:bodyPr/>
        <a:lstStyle/>
        <a:p>
          <a:pPr>
            <a:defRPr sz="1000" b="0" strike="noStrike" spc="-1">
              <a:solidFill>
                <a:srgbClr val="000000"/>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v-LV"/>
  <c:roundedCorners val="0"/>
  <c:style val="2"/>
  <c:chart>
    <c:title>
      <c:tx>
        <c:rich>
          <a:bodyPr rot="0"/>
          <a:lstStyle/>
          <a:p>
            <a:pPr>
              <a:defRPr lang="lv-LV" sz="1200" b="1" strike="noStrike" spc="-1">
                <a:solidFill>
                  <a:srgbClr val="000000"/>
                </a:solidFill>
                <a:latin typeface="Calibri"/>
              </a:defRPr>
            </a:pPr>
            <a:r>
              <a:rPr lang="lv-LV" sz="1200" b="1" strike="noStrike" spc="-1">
                <a:solidFill>
                  <a:srgbClr val="000000"/>
                </a:solidFill>
                <a:latin typeface="Calibri"/>
              </a:rPr>
              <a:t>Licencēto izglītības programmu, kas atbilst Ministru kabineta noteiktajam paraugam skaita attiecība  pa gadiem  (%)</a:t>
            </a:r>
          </a:p>
        </c:rich>
      </c:tx>
      <c:layout>
        <c:manualLayout>
          <c:xMode val="edge"/>
          <c:yMode val="edge"/>
          <c:x val="0.10175294439879499"/>
          <c:y val="2.2591506462474199E-2"/>
        </c:manualLayout>
      </c:layout>
      <c:overlay val="0"/>
      <c:spPr>
        <a:noFill/>
        <a:ln w="0">
          <a:noFill/>
        </a:ln>
      </c:spPr>
    </c:title>
    <c:autoTitleDeleted val="0"/>
    <c:plotArea>
      <c:layout/>
      <c:barChart>
        <c:barDir val="col"/>
        <c:grouping val="percentStacked"/>
        <c:varyColors val="0"/>
        <c:ser>
          <c:idx val="0"/>
          <c:order val="0"/>
          <c:tx>
            <c:strRef>
              <c:f>label 0</c:f>
              <c:strCache>
                <c:ptCount val="1"/>
                <c:pt idx="0">
                  <c:v>Pēc MK parauga</c:v>
                </c:pt>
              </c:strCache>
            </c:strRef>
          </c:tx>
          <c:spPr>
            <a:solidFill>
              <a:srgbClr val="4F81BD"/>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2016.</c:v>
                </c:pt>
                <c:pt idx="1">
                  <c:v>2017.</c:v>
                </c:pt>
                <c:pt idx="2">
                  <c:v>2018.</c:v>
                </c:pt>
                <c:pt idx="3">
                  <c:v>2019.</c:v>
                </c:pt>
                <c:pt idx="4">
                  <c:v>2020.</c:v>
                </c:pt>
                <c:pt idx="5">
                  <c:v>2021.</c:v>
                </c:pt>
                <c:pt idx="6">
                  <c:v>2022.</c:v>
                </c:pt>
              </c:strCache>
            </c:strRef>
          </c:cat>
          <c:val>
            <c:numRef>
              <c:f>0</c:f>
              <c:numCache>
                <c:formatCode>General</c:formatCode>
                <c:ptCount val="7"/>
                <c:pt idx="0">
                  <c:v>50</c:v>
                </c:pt>
                <c:pt idx="1">
                  <c:v>59</c:v>
                </c:pt>
                <c:pt idx="2">
                  <c:v>87</c:v>
                </c:pt>
                <c:pt idx="3">
                  <c:v>77</c:v>
                </c:pt>
                <c:pt idx="4">
                  <c:v>1114</c:v>
                </c:pt>
                <c:pt idx="5">
                  <c:v>256</c:v>
                </c:pt>
                <c:pt idx="6">
                  <c:v>257</c:v>
                </c:pt>
              </c:numCache>
            </c:numRef>
          </c:val>
          <c:extLst>
            <c:ext xmlns:c16="http://schemas.microsoft.com/office/drawing/2014/chart" uri="{C3380CC4-5D6E-409C-BE32-E72D297353CC}">
              <c16:uniqueId val="{00000000-9747-43B1-9639-3DC9171C93E7}"/>
            </c:ext>
          </c:extLst>
        </c:ser>
        <c:ser>
          <c:idx val="1"/>
          <c:order val="1"/>
          <c:tx>
            <c:strRef>
              <c:f>label 1</c:f>
              <c:strCache>
                <c:ptCount val="1"/>
                <c:pt idx="0">
                  <c:v>Iestādes izstrādāta</c:v>
                </c:pt>
              </c:strCache>
            </c:strRef>
          </c:tx>
          <c:spPr>
            <a:solidFill>
              <a:srgbClr val="C0504D"/>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2016.</c:v>
                </c:pt>
                <c:pt idx="1">
                  <c:v>2017.</c:v>
                </c:pt>
                <c:pt idx="2">
                  <c:v>2018.</c:v>
                </c:pt>
                <c:pt idx="3">
                  <c:v>2019.</c:v>
                </c:pt>
                <c:pt idx="4">
                  <c:v>2020.</c:v>
                </c:pt>
                <c:pt idx="5">
                  <c:v>2021.</c:v>
                </c:pt>
                <c:pt idx="6">
                  <c:v>2022.</c:v>
                </c:pt>
              </c:strCache>
            </c:strRef>
          </c:cat>
          <c:val>
            <c:numRef>
              <c:f>1</c:f>
              <c:numCache>
                <c:formatCode>General</c:formatCode>
                <c:ptCount val="7"/>
                <c:pt idx="0">
                  <c:v>50</c:v>
                </c:pt>
                <c:pt idx="1">
                  <c:v>41</c:v>
                </c:pt>
                <c:pt idx="2">
                  <c:v>13</c:v>
                </c:pt>
                <c:pt idx="3">
                  <c:v>23</c:v>
                </c:pt>
                <c:pt idx="4">
                  <c:v>65</c:v>
                </c:pt>
                <c:pt idx="5">
                  <c:v>4</c:v>
                </c:pt>
                <c:pt idx="6">
                  <c:v>4</c:v>
                </c:pt>
              </c:numCache>
            </c:numRef>
          </c:val>
          <c:extLst>
            <c:ext xmlns:c16="http://schemas.microsoft.com/office/drawing/2014/chart" uri="{C3380CC4-5D6E-409C-BE32-E72D297353CC}">
              <c16:uniqueId val="{00000001-9747-43B1-9639-3DC9171C93E7}"/>
            </c:ext>
          </c:extLst>
        </c:ser>
        <c:dLbls>
          <c:showLegendKey val="0"/>
          <c:showVal val="0"/>
          <c:showCatName val="0"/>
          <c:showSerName val="0"/>
          <c:showPercent val="0"/>
          <c:showBubbleSize val="0"/>
        </c:dLbls>
        <c:gapWidth val="150"/>
        <c:overlap val="100"/>
        <c:axId val="99707182"/>
        <c:axId val="40565731"/>
      </c:barChart>
      <c:catAx>
        <c:axId val="99707182"/>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40565731"/>
        <c:crosses val="autoZero"/>
        <c:auto val="1"/>
        <c:lblAlgn val="ctr"/>
        <c:lblOffset val="100"/>
        <c:noMultiLvlLbl val="0"/>
      </c:catAx>
      <c:valAx>
        <c:axId val="40565731"/>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99707182"/>
        <c:crosses val="autoZero"/>
        <c:crossBetween val="between"/>
      </c:valAx>
      <c:spPr>
        <a:noFill/>
        <a:ln w="0">
          <a:noFill/>
        </a:ln>
      </c:spPr>
    </c:plotArea>
    <c:legend>
      <c:legendPos val="r"/>
      <c:overlay val="0"/>
      <c:spPr>
        <a:noFill/>
        <a:ln w="0">
          <a:noFill/>
        </a:ln>
      </c:spPr>
      <c:txPr>
        <a:bodyPr/>
        <a:lstStyle/>
        <a:p>
          <a:pPr>
            <a:defRPr sz="1000" b="0" strike="noStrike" spc="-1">
              <a:solidFill>
                <a:srgbClr val="000000"/>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v-LV"/>
  <c:roundedCorners val="0"/>
  <c:style val="2"/>
  <c:chart>
    <c:autoTitleDeleted val="1"/>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Series1</c:v>
                </c:pt>
              </c:strCache>
            </c:strRef>
          </c:tx>
          <c:spPr>
            <a:solidFill>
              <a:srgbClr val="4F81BD"/>
            </a:solidFill>
            <a:ln w="0">
              <a:noFill/>
            </a:ln>
          </c:spPr>
          <c:dPt>
            <c:idx val="0"/>
            <c:bubble3D val="0"/>
            <c:spPr>
              <a:solidFill>
                <a:srgbClr val="4F81BD"/>
              </a:solidFill>
              <a:ln w="6480">
                <a:solidFill>
                  <a:srgbClr val="FFFFFF"/>
                </a:solidFill>
                <a:round/>
              </a:ln>
            </c:spPr>
            <c:extLst>
              <c:ext xmlns:c16="http://schemas.microsoft.com/office/drawing/2014/chart" uri="{C3380CC4-5D6E-409C-BE32-E72D297353CC}">
                <c16:uniqueId val="{00000001-74CF-407D-AAB7-567DA5EBABD0}"/>
              </c:ext>
            </c:extLst>
          </c:dPt>
          <c:dPt>
            <c:idx val="1"/>
            <c:bubble3D val="0"/>
            <c:spPr>
              <a:solidFill>
                <a:srgbClr val="C0504D"/>
              </a:solidFill>
              <a:ln w="12600">
                <a:solidFill>
                  <a:srgbClr val="FFFFFF"/>
                </a:solidFill>
                <a:round/>
              </a:ln>
            </c:spPr>
            <c:extLst>
              <c:ext xmlns:c16="http://schemas.microsoft.com/office/drawing/2014/chart" uri="{C3380CC4-5D6E-409C-BE32-E72D297353CC}">
                <c16:uniqueId val="{00000003-74CF-407D-AAB7-567DA5EBABD0}"/>
              </c:ext>
            </c:extLst>
          </c:dPt>
          <c:dPt>
            <c:idx val="2"/>
            <c:bubble3D val="0"/>
            <c:spPr>
              <a:solidFill>
                <a:srgbClr val="9BBB59"/>
              </a:solidFill>
              <a:ln w="25560">
                <a:solidFill>
                  <a:srgbClr val="FFFFFF"/>
                </a:solidFill>
                <a:round/>
              </a:ln>
            </c:spPr>
            <c:extLst>
              <c:ext xmlns:c16="http://schemas.microsoft.com/office/drawing/2014/chart" uri="{C3380CC4-5D6E-409C-BE32-E72D297353CC}">
                <c16:uniqueId val="{00000005-74CF-407D-AAB7-567DA5EBABD0}"/>
              </c:ext>
            </c:extLst>
          </c:dPt>
          <c:dPt>
            <c:idx val="3"/>
            <c:bubble3D val="0"/>
            <c:spPr>
              <a:solidFill>
                <a:srgbClr val="8064A2"/>
              </a:solidFill>
              <a:ln w="25560">
                <a:solidFill>
                  <a:srgbClr val="FFFFFF"/>
                </a:solidFill>
                <a:round/>
              </a:ln>
            </c:spPr>
            <c:extLst>
              <c:ext xmlns:c16="http://schemas.microsoft.com/office/drawing/2014/chart" uri="{C3380CC4-5D6E-409C-BE32-E72D297353CC}">
                <c16:uniqueId val="{00000007-74CF-407D-AAB7-567DA5EBABD0}"/>
              </c:ext>
            </c:extLst>
          </c:dPt>
          <c:dPt>
            <c:idx val="4"/>
            <c:bubble3D val="0"/>
            <c:spPr>
              <a:solidFill>
                <a:srgbClr val="4BACC6"/>
              </a:solidFill>
              <a:ln w="25560">
                <a:solidFill>
                  <a:srgbClr val="FFFFFF"/>
                </a:solidFill>
                <a:round/>
              </a:ln>
            </c:spPr>
            <c:extLst>
              <c:ext xmlns:c16="http://schemas.microsoft.com/office/drawing/2014/chart" uri="{C3380CC4-5D6E-409C-BE32-E72D297353CC}">
                <c16:uniqueId val="{00000009-74CF-407D-AAB7-567DA5EBABD0}"/>
              </c:ext>
            </c:extLst>
          </c:dPt>
          <c:dPt>
            <c:idx val="5"/>
            <c:bubble3D val="0"/>
            <c:spPr>
              <a:solidFill>
                <a:srgbClr val="F79646"/>
              </a:solidFill>
              <a:ln w="25560">
                <a:solidFill>
                  <a:srgbClr val="FFFFFF"/>
                </a:solidFill>
                <a:round/>
              </a:ln>
            </c:spPr>
            <c:extLst>
              <c:ext xmlns:c16="http://schemas.microsoft.com/office/drawing/2014/chart" uri="{C3380CC4-5D6E-409C-BE32-E72D297353CC}">
                <c16:uniqueId val="{0000000B-74CF-407D-AAB7-567DA5EBABD0}"/>
              </c:ext>
            </c:extLst>
          </c:dPt>
          <c:dPt>
            <c:idx val="6"/>
            <c:bubble3D val="0"/>
            <c:spPr>
              <a:solidFill>
                <a:srgbClr val="2C4D75"/>
              </a:solidFill>
              <a:ln w="25560">
                <a:solidFill>
                  <a:srgbClr val="FFFFFF"/>
                </a:solidFill>
                <a:round/>
              </a:ln>
            </c:spPr>
            <c:extLst>
              <c:ext xmlns:c16="http://schemas.microsoft.com/office/drawing/2014/chart" uri="{C3380CC4-5D6E-409C-BE32-E72D297353CC}">
                <c16:uniqueId val="{0000000D-74CF-407D-AAB7-567DA5EBABD0}"/>
              </c:ext>
            </c:extLst>
          </c:dPt>
          <c:dLbls>
            <c:dLbl>
              <c:idx val="0"/>
              <c:spPr/>
              <c:txPr>
                <a:bodyPr wrap="square"/>
                <a:lstStyle/>
                <a:p>
                  <a:pPr>
                    <a:defRPr sz="1100" b="0" strike="noStrike" spc="-1">
                      <a:solidFill>
                        <a:srgbClr val="404040"/>
                      </a:solidFill>
                      <a:latin typeface="Times New Roman"/>
                    </a:defRPr>
                  </a:pPr>
                  <a:endParaRPr lang="en-US"/>
                </a:p>
              </c:txPr>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1-74CF-407D-AAB7-567DA5EBABD0}"/>
                </c:ext>
              </c:extLst>
            </c:dLbl>
            <c:dLbl>
              <c:idx val="1"/>
              <c:spPr/>
              <c:txPr>
                <a:bodyPr wrap="square"/>
                <a:lstStyle/>
                <a:p>
                  <a:pPr>
                    <a:defRPr sz="1100" b="0" strike="noStrike" spc="-1">
                      <a:solidFill>
                        <a:srgbClr val="404040"/>
                      </a:solidFill>
                      <a:latin typeface="Times New Roman"/>
                    </a:defRPr>
                  </a:pPr>
                  <a:endParaRPr lang="en-US"/>
                </a:p>
              </c:txPr>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74CF-407D-AAB7-567DA5EBABD0}"/>
                </c:ext>
              </c:extLst>
            </c:dLbl>
            <c:dLbl>
              <c:idx val="2"/>
              <c:spPr/>
              <c:txPr>
                <a:bodyPr wrap="square"/>
                <a:lstStyle/>
                <a:p>
                  <a:pPr>
                    <a:defRPr sz="1100" b="0" strike="noStrike" spc="-1">
                      <a:solidFill>
                        <a:srgbClr val="404040"/>
                      </a:solidFill>
                      <a:latin typeface="Times New Roman"/>
                    </a:defRPr>
                  </a:pPr>
                  <a:endParaRPr lang="en-US"/>
                </a:p>
              </c:txPr>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5-74CF-407D-AAB7-567DA5EBABD0}"/>
                </c:ext>
              </c:extLst>
            </c:dLbl>
            <c:dLbl>
              <c:idx val="3"/>
              <c:spPr/>
              <c:txPr>
                <a:bodyPr wrap="square"/>
                <a:lstStyle/>
                <a:p>
                  <a:pPr>
                    <a:defRPr sz="1100" b="0" strike="noStrike" spc="-1">
                      <a:solidFill>
                        <a:srgbClr val="404040"/>
                      </a:solidFill>
                      <a:latin typeface="Times New Roman"/>
                    </a:defRPr>
                  </a:pPr>
                  <a:endParaRPr lang="en-US"/>
                </a:p>
              </c:txPr>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7-74CF-407D-AAB7-567DA5EBABD0}"/>
                </c:ext>
              </c:extLst>
            </c:dLbl>
            <c:dLbl>
              <c:idx val="4"/>
              <c:spPr/>
              <c:txPr>
                <a:bodyPr wrap="square"/>
                <a:lstStyle/>
                <a:p>
                  <a:pPr>
                    <a:defRPr sz="1100" b="0" strike="noStrike" spc="-1">
                      <a:solidFill>
                        <a:srgbClr val="404040"/>
                      </a:solidFill>
                      <a:latin typeface="Times New Roman"/>
                    </a:defRPr>
                  </a:pPr>
                  <a:endParaRPr lang="en-US"/>
                </a:p>
              </c:txPr>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9-74CF-407D-AAB7-567DA5EBABD0}"/>
                </c:ext>
              </c:extLst>
            </c:dLbl>
            <c:dLbl>
              <c:idx val="5"/>
              <c:spPr/>
              <c:txPr>
                <a:bodyPr wrap="square"/>
                <a:lstStyle/>
                <a:p>
                  <a:pPr>
                    <a:defRPr sz="1100" b="0" strike="noStrike" spc="-1">
                      <a:solidFill>
                        <a:srgbClr val="404040"/>
                      </a:solidFill>
                      <a:latin typeface="Times New Roman"/>
                    </a:defRPr>
                  </a:pPr>
                  <a:endParaRPr lang="en-US"/>
                </a:p>
              </c:txPr>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B-74CF-407D-AAB7-567DA5EBABD0}"/>
                </c:ext>
              </c:extLst>
            </c:dLbl>
            <c:dLbl>
              <c:idx val="6"/>
              <c:spPr/>
              <c:txPr>
                <a:bodyPr wrap="square"/>
                <a:lstStyle/>
                <a:p>
                  <a:pPr>
                    <a:defRPr sz="1100" b="0" strike="noStrike" spc="-1">
                      <a:solidFill>
                        <a:srgbClr val="404040"/>
                      </a:solidFill>
                      <a:latin typeface="Times New Roman"/>
                    </a:defRPr>
                  </a:pPr>
                  <a:endParaRPr lang="en-US"/>
                </a:p>
              </c:txPr>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D-74CF-407D-AAB7-567DA5EBABD0}"/>
                </c:ext>
              </c:extLst>
            </c:dLbl>
            <c:spPr>
              <a:noFill/>
              <a:ln>
                <a:noFill/>
              </a:ln>
              <a:effectLst/>
            </c:spPr>
            <c:txPr>
              <a:bodyPr wrap="square"/>
              <a:lstStyle/>
              <a:p>
                <a:pPr>
                  <a:defRPr sz="1100" b="0" strike="noStrike" spc="-1">
                    <a:solidFill>
                      <a:srgbClr val="404040"/>
                    </a:solidFill>
                    <a:latin typeface="Times New Roman"/>
                  </a:defRPr>
                </a:pPr>
                <a:endParaRPr lang="en-US"/>
              </a:p>
            </c:txPr>
            <c:dLblPos val="ctr"/>
            <c:showLegendKey val="0"/>
            <c:showVal val="0"/>
            <c:showCatName val="0"/>
            <c:showSerName val="0"/>
            <c:showPercent val="1"/>
            <c:showBubbleSize val="1"/>
            <c:separator>
</c:separator>
            <c:showLeaderLines val="1"/>
            <c:extLst>
              <c:ext xmlns:c15="http://schemas.microsoft.com/office/drawing/2012/chart" uri="{CE6537A1-D6FC-4f65-9D91-7224C49458BB}"/>
            </c:extLst>
          </c:dLbls>
          <c:cat>
            <c:strRef>
              <c:f>categories</c:f>
              <c:strCache>
                <c:ptCount val="7"/>
                <c:pt idx="0">
                  <c:v>Vispārējās izglītības iestādes</c:v>
                </c:pt>
                <c:pt idx="1">
                  <c:v>Pirmsskolas</c:v>
                </c:pt>
                <c:pt idx="2">
                  <c:v>Citas izglītības iestādes</c:v>
                </c:pt>
                <c:pt idx="3">
                  <c:v>Augstākās izglītības iestādes</c:v>
                </c:pt>
                <c:pt idx="4">
                  <c:v>Profesionālās vidējās izglītības iestādes</c:v>
                </c:pt>
                <c:pt idx="5">
                  <c:v>Sporta, mūzikas un mākslas profesionālās ievirzes izglītības iestādes</c:v>
                </c:pt>
                <c:pt idx="6">
                  <c:v>Profesionālās tālākizglītības un pilnveides izglītības iestāde</c:v>
                </c:pt>
              </c:strCache>
            </c:strRef>
          </c:cat>
          <c:val>
            <c:numRef>
              <c:f>0</c:f>
              <c:numCache>
                <c:formatCode>General</c:formatCode>
                <c:ptCount val="7"/>
                <c:pt idx="0">
                  <c:v>330</c:v>
                </c:pt>
                <c:pt idx="1">
                  <c:v>234</c:v>
                </c:pt>
                <c:pt idx="2">
                  <c:v>182</c:v>
                </c:pt>
                <c:pt idx="3">
                  <c:v>50</c:v>
                </c:pt>
                <c:pt idx="4">
                  <c:v>26</c:v>
                </c:pt>
                <c:pt idx="5">
                  <c:v>24</c:v>
                </c:pt>
                <c:pt idx="6">
                  <c:v>6</c:v>
                </c:pt>
              </c:numCache>
            </c:numRef>
          </c:val>
          <c:extLst>
            <c:ext xmlns:c16="http://schemas.microsoft.com/office/drawing/2014/chart" uri="{C3380CC4-5D6E-409C-BE32-E72D297353CC}">
              <c16:uniqueId val="{0000000E-74CF-407D-AAB7-567DA5EBABD0}"/>
            </c:ext>
          </c:extLst>
        </c:ser>
        <c:dLbls>
          <c:showLegendKey val="0"/>
          <c:showVal val="0"/>
          <c:showCatName val="0"/>
          <c:showSerName val="0"/>
          <c:showPercent val="0"/>
          <c:showBubbleSize val="0"/>
          <c:showLeaderLines val="1"/>
        </c:dLbls>
      </c:pie3DChart>
    </c:plotArea>
    <c:legend>
      <c:legendPos val="r"/>
      <c:layout>
        <c:manualLayout>
          <c:xMode val="edge"/>
          <c:yMode val="edge"/>
          <c:x val="0.62856250000000002"/>
          <c:y val="4.67777777777778E-2"/>
          <c:w val="0.35464716544783997"/>
          <c:h val="0.91732414712745802"/>
        </c:manualLayout>
      </c:layout>
      <c:overlay val="0"/>
      <c:spPr>
        <a:noFill/>
        <a:ln w="0">
          <a:noFill/>
        </a:ln>
      </c:spPr>
      <c:txPr>
        <a:bodyPr/>
        <a:lstStyle/>
        <a:p>
          <a:pPr>
            <a:defRPr sz="1000" b="0" strike="noStrike" spc="29">
              <a:solidFill>
                <a:srgbClr val="595959"/>
              </a:solidFill>
              <a:latin typeface="Times New Roman"/>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v-LV"/>
  <c:roundedCorners val="0"/>
  <c:style val="2"/>
  <c:chart>
    <c:autoTitleDeleted val="1"/>
    <c:plotArea>
      <c:layout/>
      <c:pieChart>
        <c:varyColors val="1"/>
        <c:ser>
          <c:idx val="0"/>
          <c:order val="0"/>
          <c:tx>
            <c:strRef>
              <c:f>label 0</c:f>
              <c:strCache>
                <c:ptCount val="1"/>
                <c:pt idx="0">
                  <c:v>Izglītojamie </c:v>
                </c:pt>
              </c:strCache>
            </c:strRef>
          </c:tx>
          <c:spPr>
            <a:solidFill>
              <a:srgbClr val="4F81BD"/>
            </a:solidFill>
            <a:ln w="0">
              <a:noFill/>
            </a:ln>
          </c:spPr>
          <c:dPt>
            <c:idx val="0"/>
            <c:bubble3D val="0"/>
            <c:spPr>
              <a:solidFill>
                <a:srgbClr val="4F81BD"/>
              </a:solidFill>
              <a:ln w="0">
                <a:noFill/>
              </a:ln>
            </c:spPr>
            <c:extLst>
              <c:ext xmlns:c16="http://schemas.microsoft.com/office/drawing/2014/chart" uri="{C3380CC4-5D6E-409C-BE32-E72D297353CC}">
                <c16:uniqueId val="{00000001-4AD9-4EBE-A42C-3FB8CEC29B53}"/>
              </c:ext>
            </c:extLst>
          </c:dPt>
          <c:dPt>
            <c:idx val="1"/>
            <c:bubble3D val="0"/>
            <c:spPr>
              <a:solidFill>
                <a:srgbClr val="C0504D"/>
              </a:solidFill>
              <a:ln w="0">
                <a:noFill/>
              </a:ln>
            </c:spPr>
            <c:extLst>
              <c:ext xmlns:c16="http://schemas.microsoft.com/office/drawing/2014/chart" uri="{C3380CC4-5D6E-409C-BE32-E72D297353CC}">
                <c16:uniqueId val="{00000003-4AD9-4EBE-A42C-3FB8CEC29B53}"/>
              </c:ext>
            </c:extLst>
          </c:dPt>
          <c:dPt>
            <c:idx val="2"/>
            <c:bubble3D val="0"/>
            <c:spPr>
              <a:solidFill>
                <a:srgbClr val="9BBB59"/>
              </a:solidFill>
              <a:ln w="0">
                <a:noFill/>
              </a:ln>
            </c:spPr>
            <c:extLst>
              <c:ext xmlns:c16="http://schemas.microsoft.com/office/drawing/2014/chart" uri="{C3380CC4-5D6E-409C-BE32-E72D297353CC}">
                <c16:uniqueId val="{00000005-4AD9-4EBE-A42C-3FB8CEC29B53}"/>
              </c:ext>
            </c:extLst>
          </c:dPt>
          <c:dPt>
            <c:idx val="3"/>
            <c:bubble3D val="0"/>
            <c:spPr>
              <a:solidFill>
                <a:srgbClr val="8064A2"/>
              </a:solidFill>
              <a:ln w="0">
                <a:noFill/>
              </a:ln>
            </c:spPr>
            <c:extLst>
              <c:ext xmlns:c16="http://schemas.microsoft.com/office/drawing/2014/chart" uri="{C3380CC4-5D6E-409C-BE32-E72D297353CC}">
                <c16:uniqueId val="{00000007-4AD9-4EBE-A42C-3FB8CEC29B53}"/>
              </c:ext>
            </c:extLst>
          </c:dPt>
          <c:dPt>
            <c:idx val="4"/>
            <c:bubble3D val="0"/>
            <c:spPr>
              <a:solidFill>
                <a:srgbClr val="4BACC6"/>
              </a:solidFill>
              <a:ln w="0">
                <a:noFill/>
              </a:ln>
            </c:spPr>
            <c:extLst>
              <c:ext xmlns:c16="http://schemas.microsoft.com/office/drawing/2014/chart" uri="{C3380CC4-5D6E-409C-BE32-E72D297353CC}">
                <c16:uniqueId val="{00000009-4AD9-4EBE-A42C-3FB8CEC29B53}"/>
              </c:ext>
            </c:extLst>
          </c:dPt>
          <c:dLbls>
            <c:dLbl>
              <c:idx val="0"/>
              <c:spPr/>
              <c:txPr>
                <a:bodyPr wrap="square"/>
                <a:lstStyle/>
                <a:p>
                  <a:pPr>
                    <a:defRPr sz="989" b="0" strike="noStrike" spc="-1">
                      <a:solidFill>
                        <a:srgbClr val="000000"/>
                      </a:solidFill>
                      <a:latin typeface="Calibri"/>
                    </a:defRPr>
                  </a:pPr>
                  <a:endParaRPr lang="en-US"/>
                </a:p>
              </c:txPr>
              <c:dLblPos val="outEnd"/>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1-4AD9-4EBE-A42C-3FB8CEC29B53}"/>
                </c:ext>
              </c:extLst>
            </c:dLbl>
            <c:dLbl>
              <c:idx val="1"/>
              <c:spPr/>
              <c:txPr>
                <a:bodyPr wrap="square"/>
                <a:lstStyle/>
                <a:p>
                  <a:pPr>
                    <a:defRPr sz="989" b="0" strike="noStrike" spc="-1">
                      <a:solidFill>
                        <a:srgbClr val="000000"/>
                      </a:solidFill>
                      <a:latin typeface="Calibri"/>
                    </a:defRPr>
                  </a:pPr>
                  <a:endParaRPr lang="en-US"/>
                </a:p>
              </c:txPr>
              <c:dLblPos val="outEnd"/>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4AD9-4EBE-A42C-3FB8CEC29B53}"/>
                </c:ext>
              </c:extLst>
            </c:dLbl>
            <c:dLbl>
              <c:idx val="2"/>
              <c:spPr/>
              <c:txPr>
                <a:bodyPr wrap="square"/>
                <a:lstStyle/>
                <a:p>
                  <a:pPr>
                    <a:defRPr sz="989" b="0" strike="noStrike" spc="-1">
                      <a:solidFill>
                        <a:srgbClr val="000000"/>
                      </a:solidFill>
                      <a:latin typeface="Calibri"/>
                    </a:defRPr>
                  </a:pPr>
                  <a:endParaRPr lang="en-US"/>
                </a:p>
              </c:txPr>
              <c:dLblPos val="outEnd"/>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5-4AD9-4EBE-A42C-3FB8CEC29B53}"/>
                </c:ext>
              </c:extLst>
            </c:dLbl>
            <c:dLbl>
              <c:idx val="3"/>
              <c:spPr/>
              <c:txPr>
                <a:bodyPr wrap="square"/>
                <a:lstStyle/>
                <a:p>
                  <a:pPr>
                    <a:defRPr sz="989" b="0" strike="noStrike" spc="-1">
                      <a:solidFill>
                        <a:srgbClr val="000000"/>
                      </a:solidFill>
                      <a:latin typeface="Calibri"/>
                    </a:defRPr>
                  </a:pPr>
                  <a:endParaRPr lang="en-US"/>
                </a:p>
              </c:txPr>
              <c:dLblPos val="outEnd"/>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7-4AD9-4EBE-A42C-3FB8CEC29B53}"/>
                </c:ext>
              </c:extLst>
            </c:dLbl>
            <c:dLbl>
              <c:idx val="4"/>
              <c:spPr/>
              <c:txPr>
                <a:bodyPr wrap="square"/>
                <a:lstStyle/>
                <a:p>
                  <a:pPr>
                    <a:defRPr sz="989" b="0" strike="noStrike" spc="-1">
                      <a:solidFill>
                        <a:srgbClr val="000000"/>
                      </a:solidFill>
                      <a:latin typeface="Calibri"/>
                    </a:defRPr>
                  </a:pPr>
                  <a:endParaRPr lang="en-US"/>
                </a:p>
              </c:txPr>
              <c:dLblPos val="outEnd"/>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9-4AD9-4EBE-A42C-3FB8CEC29B53}"/>
                </c:ext>
              </c:extLst>
            </c:dLbl>
            <c:spPr>
              <a:noFill/>
              <a:ln>
                <a:noFill/>
              </a:ln>
              <a:effectLst/>
            </c:spPr>
            <c:txPr>
              <a:bodyPr wrap="square"/>
              <a:lstStyle/>
              <a:p>
                <a:pPr>
                  <a:defRPr sz="989" b="0" strike="noStrike" spc="-1">
                    <a:solidFill>
                      <a:srgbClr val="000000"/>
                    </a:solidFill>
                    <a:latin typeface="Calibri"/>
                  </a:defRPr>
                </a:pPr>
                <a:endParaRPr lang="en-US"/>
              </a:p>
            </c:txPr>
            <c:dLblPos val="ctr"/>
            <c:showLegendKey val="0"/>
            <c:showVal val="1"/>
            <c:showCatName val="0"/>
            <c:showSerName val="0"/>
            <c:showPercent val="1"/>
            <c:showBubbleSize val="1"/>
            <c:separator>; </c:separator>
            <c:showLeaderLines val="1"/>
            <c:extLst>
              <c:ext xmlns:c15="http://schemas.microsoft.com/office/drawing/2012/chart" uri="{CE6537A1-D6FC-4f65-9D91-7224C49458BB}"/>
            </c:extLst>
          </c:dLbls>
          <c:cat>
            <c:strRef>
              <c:f>categories</c:f>
              <c:strCache>
                <c:ptCount val="5"/>
                <c:pt idx="0">
                  <c:v>Sabiedriskais transports </c:v>
                </c:pt>
                <c:pt idx="1">
                  <c:v>Naktsmītne</c:v>
                </c:pt>
                <c:pt idx="2">
                  <c:v>Ēdināšana</c:v>
                </c:pt>
                <c:pt idx="3">
                  <c:v>Individuālie mācību līdzekļi </c:v>
                </c:pt>
                <c:pt idx="4">
                  <c:v>Individuālās lietošanas priekšmeti </c:v>
                </c:pt>
              </c:strCache>
            </c:strRef>
          </c:cat>
          <c:val>
            <c:numRef>
              <c:f>0</c:f>
              <c:numCache>
                <c:formatCode>General</c:formatCode>
                <c:ptCount val="5"/>
                <c:pt idx="0">
                  <c:v>2724</c:v>
                </c:pt>
                <c:pt idx="1">
                  <c:v>2581</c:v>
                </c:pt>
                <c:pt idx="2">
                  <c:v>8740</c:v>
                </c:pt>
                <c:pt idx="3">
                  <c:v>191</c:v>
                </c:pt>
                <c:pt idx="4">
                  <c:v>59</c:v>
                </c:pt>
              </c:numCache>
            </c:numRef>
          </c:val>
          <c:extLst>
            <c:ext xmlns:c16="http://schemas.microsoft.com/office/drawing/2014/chart" uri="{C3380CC4-5D6E-409C-BE32-E72D297353CC}">
              <c16:uniqueId val="{0000000A-4AD9-4EBE-A42C-3FB8CEC29B53}"/>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solidFill>
          <a:srgbClr val="F2F2F2">
            <a:alpha val="39000"/>
          </a:srgbClr>
        </a:solidFill>
        <a:ln w="0">
          <a:noFill/>
        </a:ln>
      </c:spPr>
      <c:txPr>
        <a:bodyPr/>
        <a:lstStyle/>
        <a:p>
          <a:pPr>
            <a:defRPr sz="900" b="0" strike="noStrike" spc="-1">
              <a:solidFill>
                <a:srgbClr val="404040"/>
              </a:solidFill>
              <a:latin typeface="Calibri"/>
            </a:defRPr>
          </a:pPr>
          <a:endParaRPr lang="en-US"/>
        </a:p>
      </c:txPr>
    </c:legend>
    <c:plotVisOnly val="1"/>
    <c:dispBlanksAs val="gap"/>
    <c:showDLblsOverMax val="1"/>
  </c:chart>
  <c:spPr>
    <a:noFill/>
    <a:ln w="9360">
      <a:solidFill>
        <a:srgbClr val="BFBFBF"/>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v-LV"/>
  <c:roundedCorners val="0"/>
  <c:style val="2"/>
  <c:chart>
    <c:autoTitleDeleted val="1"/>
    <c:plotArea>
      <c:layout/>
      <c:barChart>
        <c:barDir val="col"/>
        <c:grouping val="clustered"/>
        <c:varyColors val="0"/>
        <c:ser>
          <c:idx val="0"/>
          <c:order val="0"/>
          <c:tx>
            <c:strRef>
              <c:f>label 0</c:f>
              <c:strCache>
                <c:ptCount val="1"/>
                <c:pt idx="0">
                  <c:v>IAP</c:v>
                </c:pt>
              </c:strCache>
            </c:strRef>
          </c:tx>
          <c:spPr>
            <a:solidFill>
              <a:srgbClr val="4F81BD"/>
            </a:solidFill>
            <a:ln w="0">
              <a:noFill/>
            </a:ln>
          </c:spPr>
          <c:invertIfNegative val="0"/>
          <c:dLbls>
            <c:numFmt formatCode="General" sourceLinked="0"/>
            <c:spPr>
              <a:noFill/>
              <a:ln>
                <a:noFill/>
              </a:ln>
              <a:effectLst/>
            </c:spPr>
            <c:txPr>
              <a:bodyPr wrap="square"/>
              <a:lstStyle/>
              <a:p>
                <a:pPr>
                  <a:defRPr sz="900" b="1" strike="noStrike" spc="-1">
                    <a:solidFill>
                      <a:srgbClr val="0070C0"/>
                    </a:solidFill>
                    <a:latin typeface="Calibri"/>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Ar ģimeni saistītie riski </c:v>
                </c:pt>
                <c:pt idx="1">
                  <c:v>Ekonomiskie riski </c:v>
                </c:pt>
                <c:pt idx="2">
                  <c:v>Mācību darba/ izglītības iestādes riski </c:v>
                </c:pt>
                <c:pt idx="3">
                  <c:v>Sociālās vides un veselības riski </c:v>
                </c:pt>
              </c:strCache>
            </c:strRef>
          </c:cat>
          <c:val>
            <c:numRef>
              <c:f>0</c:f>
              <c:numCache>
                <c:formatCode>General</c:formatCode>
                <c:ptCount val="4"/>
                <c:pt idx="0">
                  <c:v>3113</c:v>
                </c:pt>
                <c:pt idx="1">
                  <c:v>18639</c:v>
                </c:pt>
                <c:pt idx="2">
                  <c:v>74195</c:v>
                </c:pt>
                <c:pt idx="3">
                  <c:v>1887</c:v>
                </c:pt>
              </c:numCache>
            </c:numRef>
          </c:val>
          <c:extLst>
            <c:ext xmlns:c16="http://schemas.microsoft.com/office/drawing/2014/chart" uri="{C3380CC4-5D6E-409C-BE32-E72D297353CC}">
              <c16:uniqueId val="{00000000-5945-4243-A3E6-972FA2212B60}"/>
            </c:ext>
          </c:extLst>
        </c:ser>
        <c:dLbls>
          <c:showLegendKey val="0"/>
          <c:showVal val="0"/>
          <c:showCatName val="0"/>
          <c:showSerName val="0"/>
          <c:showPercent val="0"/>
          <c:showBubbleSize val="0"/>
        </c:dLbls>
        <c:gapWidth val="150"/>
        <c:axId val="54582030"/>
        <c:axId val="63390990"/>
      </c:barChart>
      <c:lineChart>
        <c:grouping val="standard"/>
        <c:varyColors val="0"/>
        <c:ser>
          <c:idx val="1"/>
          <c:order val="1"/>
          <c:tx>
            <c:strRef>
              <c:f>label 1</c:f>
              <c:strCache>
                <c:ptCount val="1"/>
                <c:pt idx="0">
                  <c:v>Izglītojamie </c:v>
                </c:pt>
              </c:strCache>
            </c:strRef>
          </c:tx>
          <c:spPr>
            <a:ln w="28440" cap="rnd">
              <a:solidFill>
                <a:srgbClr val="C0504D"/>
              </a:solidFill>
              <a:round/>
            </a:ln>
          </c:spPr>
          <c:marker>
            <c:symbol val="none"/>
          </c:marker>
          <c:dLbls>
            <c:numFmt formatCode="General" sourceLinked="0"/>
            <c:spPr>
              <a:noFill/>
              <a:ln>
                <a:noFill/>
              </a:ln>
              <a:effectLst/>
            </c:spPr>
            <c:txPr>
              <a:bodyPr wrap="square"/>
              <a:lstStyle/>
              <a:p>
                <a:pPr>
                  <a:defRPr sz="1100" b="1" strike="noStrike" spc="-1">
                    <a:solidFill>
                      <a:srgbClr val="404040"/>
                    </a:solidFill>
                    <a:latin typeface="Calibri"/>
                  </a:defRPr>
                </a:pPr>
                <a:endParaRPr lang="en-US"/>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Ar ģimeni saistītie riski </c:v>
                </c:pt>
                <c:pt idx="1">
                  <c:v>Ekonomiskie riski </c:v>
                </c:pt>
                <c:pt idx="2">
                  <c:v>Mācību darba/ izglītības iestādes riski </c:v>
                </c:pt>
                <c:pt idx="3">
                  <c:v>Sociālās vides un veselības riski </c:v>
                </c:pt>
              </c:strCache>
            </c:strRef>
          </c:cat>
          <c:val>
            <c:numRef>
              <c:f>1</c:f>
              <c:numCache>
                <c:formatCode>General</c:formatCode>
                <c:ptCount val="4"/>
                <c:pt idx="0">
                  <c:v>1896</c:v>
                </c:pt>
                <c:pt idx="1">
                  <c:v>8292</c:v>
                </c:pt>
                <c:pt idx="2">
                  <c:v>34248</c:v>
                </c:pt>
                <c:pt idx="3">
                  <c:v>1189</c:v>
                </c:pt>
              </c:numCache>
            </c:numRef>
          </c:val>
          <c:smooth val="0"/>
          <c:extLst>
            <c:ext xmlns:c16="http://schemas.microsoft.com/office/drawing/2014/chart" uri="{C3380CC4-5D6E-409C-BE32-E72D297353CC}">
              <c16:uniqueId val="{00000001-5945-4243-A3E6-972FA2212B60}"/>
            </c:ext>
          </c:extLst>
        </c:ser>
        <c:dLbls>
          <c:showLegendKey val="0"/>
          <c:showVal val="0"/>
          <c:showCatName val="0"/>
          <c:showSerName val="0"/>
          <c:showPercent val="0"/>
          <c:showBubbleSize val="0"/>
        </c:dLbls>
        <c:hiLowLines>
          <c:spPr>
            <a:ln w="0">
              <a:noFill/>
            </a:ln>
          </c:spPr>
        </c:hiLowLines>
        <c:marker val="1"/>
        <c:smooth val="0"/>
        <c:axId val="54582030"/>
        <c:axId val="63390990"/>
      </c:lineChart>
      <c:catAx>
        <c:axId val="5458203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n-US"/>
          </a:p>
        </c:txPr>
        <c:crossAx val="63390990"/>
        <c:crosses val="autoZero"/>
        <c:auto val="1"/>
        <c:lblAlgn val="ctr"/>
        <c:lblOffset val="100"/>
        <c:noMultiLvlLbl val="0"/>
      </c:catAx>
      <c:valAx>
        <c:axId val="6339099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sz="900" b="0" strike="noStrike" spc="-1">
                <a:solidFill>
                  <a:srgbClr val="595959"/>
                </a:solidFill>
                <a:latin typeface="Calibri"/>
              </a:defRPr>
            </a:pPr>
            <a:endParaRPr lang="en-US"/>
          </a:p>
        </c:txPr>
        <c:crossAx val="54582030"/>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4F81BD"/>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v-LV"/>
  <c:roundedCorners val="0"/>
  <c:style val="2"/>
  <c:chart>
    <c:autoTitleDeleted val="1"/>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Series1</c:v>
                </c:pt>
              </c:strCache>
            </c:strRef>
          </c:tx>
          <c:spPr>
            <a:solidFill>
              <a:srgbClr val="4F81BD"/>
            </a:solidFill>
            <a:ln w="0">
              <a:noFill/>
            </a:ln>
          </c:spPr>
          <c:dPt>
            <c:idx val="0"/>
            <c:bubble3D val="0"/>
            <c:spPr>
              <a:solidFill>
                <a:srgbClr val="4F81BD"/>
              </a:solidFill>
              <a:ln w="25560">
                <a:solidFill>
                  <a:srgbClr val="FFFFFF"/>
                </a:solidFill>
                <a:round/>
              </a:ln>
            </c:spPr>
            <c:extLst>
              <c:ext xmlns:c16="http://schemas.microsoft.com/office/drawing/2014/chart" uri="{C3380CC4-5D6E-409C-BE32-E72D297353CC}">
                <c16:uniqueId val="{00000001-0D1D-456D-8D7C-C7E74D9A2AEB}"/>
              </c:ext>
            </c:extLst>
          </c:dPt>
          <c:dPt>
            <c:idx val="1"/>
            <c:bubble3D val="0"/>
            <c:spPr>
              <a:solidFill>
                <a:srgbClr val="C0504D"/>
              </a:solidFill>
              <a:ln w="25560">
                <a:solidFill>
                  <a:srgbClr val="FFFFFF"/>
                </a:solidFill>
                <a:round/>
              </a:ln>
            </c:spPr>
            <c:extLst>
              <c:ext xmlns:c16="http://schemas.microsoft.com/office/drawing/2014/chart" uri="{C3380CC4-5D6E-409C-BE32-E72D297353CC}">
                <c16:uniqueId val="{00000003-0D1D-456D-8D7C-C7E74D9A2AEB}"/>
              </c:ext>
            </c:extLst>
          </c:dPt>
          <c:dPt>
            <c:idx val="2"/>
            <c:bubble3D val="0"/>
            <c:spPr>
              <a:solidFill>
                <a:srgbClr val="9BBB59"/>
              </a:solidFill>
              <a:ln w="25560">
                <a:solidFill>
                  <a:srgbClr val="FFFFFF"/>
                </a:solidFill>
                <a:round/>
              </a:ln>
            </c:spPr>
            <c:extLst>
              <c:ext xmlns:c16="http://schemas.microsoft.com/office/drawing/2014/chart" uri="{C3380CC4-5D6E-409C-BE32-E72D297353CC}">
                <c16:uniqueId val="{00000005-0D1D-456D-8D7C-C7E74D9A2AEB}"/>
              </c:ext>
            </c:extLst>
          </c:dPt>
          <c:dPt>
            <c:idx val="3"/>
            <c:bubble3D val="0"/>
            <c:spPr>
              <a:solidFill>
                <a:srgbClr val="8064A2"/>
              </a:solidFill>
              <a:ln w="25560">
                <a:solidFill>
                  <a:srgbClr val="FFFFFF"/>
                </a:solidFill>
                <a:round/>
              </a:ln>
            </c:spPr>
            <c:extLst>
              <c:ext xmlns:c16="http://schemas.microsoft.com/office/drawing/2014/chart" uri="{C3380CC4-5D6E-409C-BE32-E72D297353CC}">
                <c16:uniqueId val="{00000007-0D1D-456D-8D7C-C7E74D9A2AEB}"/>
              </c:ext>
            </c:extLst>
          </c:dPt>
          <c:dPt>
            <c:idx val="4"/>
            <c:bubble3D val="0"/>
            <c:spPr>
              <a:solidFill>
                <a:srgbClr val="4BACC6"/>
              </a:solidFill>
              <a:ln w="25560">
                <a:solidFill>
                  <a:srgbClr val="FFFFFF"/>
                </a:solidFill>
                <a:round/>
              </a:ln>
            </c:spPr>
            <c:extLst>
              <c:ext xmlns:c16="http://schemas.microsoft.com/office/drawing/2014/chart" uri="{C3380CC4-5D6E-409C-BE32-E72D297353CC}">
                <c16:uniqueId val="{00000009-0D1D-456D-8D7C-C7E74D9A2AEB}"/>
              </c:ext>
            </c:extLst>
          </c:dPt>
          <c:dPt>
            <c:idx val="5"/>
            <c:bubble3D val="0"/>
            <c:spPr>
              <a:solidFill>
                <a:srgbClr val="F79646"/>
              </a:solidFill>
              <a:ln w="25560">
                <a:solidFill>
                  <a:srgbClr val="FFFFFF"/>
                </a:solidFill>
                <a:round/>
              </a:ln>
            </c:spPr>
            <c:extLst>
              <c:ext xmlns:c16="http://schemas.microsoft.com/office/drawing/2014/chart" uri="{C3380CC4-5D6E-409C-BE32-E72D297353CC}">
                <c16:uniqueId val="{0000000B-0D1D-456D-8D7C-C7E74D9A2AEB}"/>
              </c:ext>
            </c:extLst>
          </c:dPt>
          <c:dLbls>
            <c:dLbl>
              <c:idx val="0"/>
              <c:spPr/>
              <c:txPr>
                <a:bodyPr wrap="square"/>
                <a:lstStyle/>
                <a:p>
                  <a:pPr>
                    <a:defRPr sz="1100" b="0" strike="noStrike" spc="-1">
                      <a:solidFill>
                        <a:srgbClr val="404040"/>
                      </a:solidFill>
                      <a:latin typeface="Calibri"/>
                    </a:defRPr>
                  </a:pPr>
                  <a:endParaRPr lang="en-US"/>
                </a:p>
              </c:txPr>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1-0D1D-456D-8D7C-C7E74D9A2AEB}"/>
                </c:ext>
              </c:extLst>
            </c:dLbl>
            <c:dLbl>
              <c:idx val="1"/>
              <c:spPr/>
              <c:txPr>
                <a:bodyPr wrap="square"/>
                <a:lstStyle/>
                <a:p>
                  <a:pPr>
                    <a:defRPr sz="1100" b="0" strike="noStrike" spc="-1">
                      <a:solidFill>
                        <a:srgbClr val="404040"/>
                      </a:solidFill>
                      <a:latin typeface="Calibri"/>
                    </a:defRPr>
                  </a:pPr>
                  <a:endParaRPr lang="en-US"/>
                </a:p>
              </c:txPr>
              <c:dLblPos val="bestFit"/>
              <c:showLegendKey val="0"/>
              <c:showVal val="0"/>
              <c:showCatName val="0"/>
              <c:showSerName val="0"/>
              <c:showPercent val="1"/>
              <c:showBubbleSize val="1"/>
              <c:extLst>
                <c:ext xmlns:c16="http://schemas.microsoft.com/office/drawing/2014/chart" uri="{C3380CC4-5D6E-409C-BE32-E72D297353CC}">
                  <c16:uniqueId val="{00000003-0D1D-456D-8D7C-C7E74D9A2AEB}"/>
                </c:ext>
              </c:extLst>
            </c:dLbl>
            <c:dLbl>
              <c:idx val="2"/>
              <c:spPr/>
              <c:txPr>
                <a:bodyPr wrap="square"/>
                <a:lstStyle/>
                <a:p>
                  <a:pPr>
                    <a:defRPr sz="1100" b="0" strike="noStrike" spc="-1">
                      <a:solidFill>
                        <a:srgbClr val="404040"/>
                      </a:solidFill>
                      <a:latin typeface="Calibri"/>
                    </a:defRPr>
                  </a:pPr>
                  <a:endParaRPr lang="en-US"/>
                </a:p>
              </c:txPr>
              <c:dLblPos val="bestFit"/>
              <c:showLegendKey val="0"/>
              <c:showVal val="0"/>
              <c:showCatName val="0"/>
              <c:showSerName val="0"/>
              <c:showPercent val="1"/>
              <c:showBubbleSize val="1"/>
              <c:extLst>
                <c:ext xmlns:c16="http://schemas.microsoft.com/office/drawing/2014/chart" uri="{C3380CC4-5D6E-409C-BE32-E72D297353CC}">
                  <c16:uniqueId val="{00000005-0D1D-456D-8D7C-C7E74D9A2AEB}"/>
                </c:ext>
              </c:extLst>
            </c:dLbl>
            <c:dLbl>
              <c:idx val="3"/>
              <c:spPr/>
              <c:txPr>
                <a:bodyPr wrap="square"/>
                <a:lstStyle/>
                <a:p>
                  <a:pPr>
                    <a:defRPr sz="1100" b="0" strike="noStrike" spc="-1">
                      <a:solidFill>
                        <a:srgbClr val="404040"/>
                      </a:solidFill>
                      <a:latin typeface="Calibri"/>
                    </a:defRPr>
                  </a:pPr>
                  <a:endParaRPr lang="en-US"/>
                </a:p>
              </c:txPr>
              <c:dLblPos val="bestFit"/>
              <c:showLegendKey val="0"/>
              <c:showVal val="0"/>
              <c:showCatName val="0"/>
              <c:showSerName val="0"/>
              <c:showPercent val="1"/>
              <c:showBubbleSize val="1"/>
              <c:extLst>
                <c:ext xmlns:c16="http://schemas.microsoft.com/office/drawing/2014/chart" uri="{C3380CC4-5D6E-409C-BE32-E72D297353CC}">
                  <c16:uniqueId val="{00000007-0D1D-456D-8D7C-C7E74D9A2AEB}"/>
                </c:ext>
              </c:extLst>
            </c:dLbl>
            <c:dLbl>
              <c:idx val="4"/>
              <c:spPr/>
              <c:txPr>
                <a:bodyPr wrap="square"/>
                <a:lstStyle/>
                <a:p>
                  <a:pPr>
                    <a:defRPr sz="1100" b="0" strike="noStrike" spc="-1">
                      <a:solidFill>
                        <a:srgbClr val="404040"/>
                      </a:solidFill>
                      <a:latin typeface="Calibri"/>
                    </a:defRPr>
                  </a:pPr>
                  <a:endParaRPr lang="en-US"/>
                </a:p>
              </c:txPr>
              <c:dLblPos val="bestFit"/>
              <c:showLegendKey val="0"/>
              <c:showVal val="0"/>
              <c:showCatName val="0"/>
              <c:showSerName val="0"/>
              <c:showPercent val="1"/>
              <c:showBubbleSize val="1"/>
              <c:extLst>
                <c:ext xmlns:c16="http://schemas.microsoft.com/office/drawing/2014/chart" uri="{C3380CC4-5D6E-409C-BE32-E72D297353CC}">
                  <c16:uniqueId val="{00000009-0D1D-456D-8D7C-C7E74D9A2AEB}"/>
                </c:ext>
              </c:extLst>
            </c:dLbl>
            <c:dLbl>
              <c:idx val="5"/>
              <c:spPr/>
              <c:txPr>
                <a:bodyPr wrap="square"/>
                <a:lstStyle/>
                <a:p>
                  <a:pPr>
                    <a:defRPr sz="1100" b="0" strike="noStrike" spc="-1">
                      <a:solidFill>
                        <a:srgbClr val="404040"/>
                      </a:solidFill>
                      <a:latin typeface="Calibri"/>
                    </a:defRPr>
                  </a:pPr>
                  <a:endParaRPr lang="en-US"/>
                </a:p>
              </c:txPr>
              <c:dLblPos val="bestFit"/>
              <c:showLegendKey val="0"/>
              <c:showVal val="0"/>
              <c:showCatName val="0"/>
              <c:showSerName val="0"/>
              <c:showPercent val="1"/>
              <c:showBubbleSize val="1"/>
              <c:extLst>
                <c:ext xmlns:c16="http://schemas.microsoft.com/office/drawing/2014/chart" uri="{C3380CC4-5D6E-409C-BE32-E72D297353CC}">
                  <c16:uniqueId val="{0000000B-0D1D-456D-8D7C-C7E74D9A2AEB}"/>
                </c:ext>
              </c:extLst>
            </c:dLbl>
            <c:spPr>
              <a:noFill/>
              <a:ln>
                <a:noFill/>
              </a:ln>
              <a:effectLst/>
            </c:spPr>
            <c:txPr>
              <a:bodyPr wrap="square"/>
              <a:lstStyle/>
              <a:p>
                <a:pPr>
                  <a:defRPr sz="1100" b="0" strike="noStrike" spc="-1">
                    <a:solidFill>
                      <a:srgbClr val="404040"/>
                    </a:solidFill>
                    <a:latin typeface="Calibri"/>
                  </a:defRPr>
                </a:pPr>
                <a:endParaRPr lang="en-US"/>
              </a:p>
            </c:txPr>
            <c:dLblPos val="bestFit"/>
            <c:showLegendKey val="0"/>
            <c:showVal val="0"/>
            <c:showCatName val="0"/>
            <c:showSerName val="0"/>
            <c:showPercent val="1"/>
            <c:showBubbleSize val="1"/>
            <c:separator>
</c:separator>
            <c:showLeaderLines val="1"/>
            <c:extLst>
              <c:ext xmlns:c15="http://schemas.microsoft.com/office/drawing/2012/chart" uri="{CE6537A1-D6FC-4f65-9D91-7224C49458BB}"/>
            </c:extLst>
          </c:dLbls>
          <c:cat>
            <c:strRef>
              <c:f>categories</c:f>
              <c:strCache>
                <c:ptCount val="6"/>
                <c:pt idx="0">
                  <c:v>Doktora grāds</c:v>
                </c:pt>
                <c:pt idx="1">
                  <c:v>Maģistra grāds</c:v>
                </c:pt>
                <c:pt idx="2">
                  <c:v>Bakalaura grāds</c:v>
                </c:pt>
                <c:pt idx="3">
                  <c:v>Augstākā izglītība</c:v>
                </c:pt>
                <c:pt idx="4">
                  <c:v>Vidējā profesionālā izglītība</c:v>
                </c:pt>
                <c:pt idx="5">
                  <c:v>Vidējā izglītība</c:v>
                </c:pt>
              </c:strCache>
            </c:strRef>
          </c:cat>
          <c:val>
            <c:numRef>
              <c:f>0</c:f>
              <c:numCache>
                <c:formatCode>General</c:formatCode>
                <c:ptCount val="6"/>
                <c:pt idx="0">
                  <c:v>6</c:v>
                </c:pt>
                <c:pt idx="1">
                  <c:v>53</c:v>
                </c:pt>
                <c:pt idx="2">
                  <c:v>11</c:v>
                </c:pt>
                <c:pt idx="3">
                  <c:v>9</c:v>
                </c:pt>
                <c:pt idx="4">
                  <c:v>2</c:v>
                </c:pt>
                <c:pt idx="5">
                  <c:v>1</c:v>
                </c:pt>
              </c:numCache>
            </c:numRef>
          </c:val>
          <c:extLst>
            <c:ext xmlns:c16="http://schemas.microsoft.com/office/drawing/2014/chart" uri="{C3380CC4-5D6E-409C-BE32-E72D297353CC}">
              <c16:uniqueId val="{0000000C-0D1D-456D-8D7C-C7E74D9A2AEB}"/>
            </c:ext>
          </c:extLst>
        </c:ser>
        <c:dLbls>
          <c:showLegendKey val="0"/>
          <c:showVal val="0"/>
          <c:showCatName val="0"/>
          <c:showSerName val="0"/>
          <c:showPercent val="0"/>
          <c:showBubbleSize val="0"/>
          <c:showLeaderLines val="1"/>
        </c:dLbls>
      </c:pie3DChart>
    </c:plotArea>
    <c:legend>
      <c:legendPos val="b"/>
      <c:overlay val="0"/>
      <c:spPr>
        <a:noFill/>
        <a:ln w="0">
          <a:noFill/>
        </a:ln>
      </c:spPr>
      <c:txPr>
        <a:bodyPr/>
        <a:lstStyle/>
        <a:p>
          <a:pPr>
            <a:defRPr sz="1100" b="0" strike="noStrike" spc="-1">
              <a:solidFill>
                <a:srgbClr val="595959"/>
              </a:solidFill>
              <a:latin typeface="Times New Roman"/>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3E23-C222-4E7A-B37F-F3607DE9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15663</Words>
  <Characters>89285</Characters>
  <Application>Microsoft Office Word</Application>
  <DocSecurity>0</DocSecurity>
  <Lines>744</Lines>
  <Paragraphs>209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Veinberga</dc:creator>
  <dc:description/>
  <cp:lastModifiedBy>Jana Veinberga</cp:lastModifiedBy>
  <cp:revision>7</cp:revision>
  <cp:lastPrinted>2020-06-25T04:58:00Z</cp:lastPrinted>
  <dcterms:created xsi:type="dcterms:W3CDTF">2023-07-24T13:58:00Z</dcterms:created>
  <dcterms:modified xsi:type="dcterms:W3CDTF">2023-07-24T14:40:00Z</dcterms:modified>
  <dc:language>lv-LV</dc:language>
</cp:coreProperties>
</file>