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0F46FAE1"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081C9D">
        <w:rPr>
          <w:rFonts w:ascii="Times New Roman" w:hAnsi="Times New Roman" w:cs="Times New Roman"/>
          <w:lang w:val="lv-LV"/>
        </w:rPr>
        <w:t>15.maijā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611BFCDA" w:rsidR="00954842" w:rsidRPr="00517AF8" w:rsidRDefault="00081C9D" w:rsidP="00FB4B45">
      <w:pPr>
        <w:spacing w:after="0" w:line="240" w:lineRule="auto"/>
        <w:jc w:val="right"/>
        <w:rPr>
          <w:rFonts w:ascii="Times New Roman" w:hAnsi="Times New Roman" w:cs="Times New Roman"/>
          <w:lang w:val="lv-LV"/>
        </w:rPr>
      </w:pPr>
      <w:r>
        <w:rPr>
          <w:rFonts w:ascii="Times New Roman" w:hAnsi="Times New Roman" w:cs="Times New Roman"/>
          <w:lang w:val="lv-LV"/>
        </w:rPr>
        <w:t>Zantes pamatskolas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026EBC00" w:rsidR="007C62F3" w:rsidRDefault="00081C9D" w:rsidP="00A71D15">
      <w:pPr>
        <w:spacing w:after="0" w:line="240" w:lineRule="auto"/>
        <w:jc w:val="both"/>
        <w:rPr>
          <w:rFonts w:ascii="Times New Roman" w:hAnsi="Times New Roman" w:cs="Times New Roman"/>
          <w:lang w:val="lv-LV"/>
        </w:rPr>
      </w:pPr>
      <w:r>
        <w:rPr>
          <w:rFonts w:ascii="Times New Roman" w:hAnsi="Times New Roman" w:cs="Times New Roman"/>
          <w:lang w:val="lv-LV"/>
        </w:rPr>
        <w:t>Zantes pamatskola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sidR="007E2265">
        <w:rPr>
          <w:rFonts w:ascii="Times New Roman" w:hAnsi="Times New Roman" w:cs="Times New Roman"/>
          <w:lang w:val="lv-LV"/>
        </w:rPr>
        <w:t xml:space="preserve">, </w:t>
      </w:r>
      <w:r w:rsidR="00A71D15" w:rsidRPr="00517AF8">
        <w:rPr>
          <w:rFonts w:ascii="Times New Roman" w:hAnsi="Times New Roman" w:cs="Times New Roman"/>
          <w:lang w:val="lv-LV"/>
        </w:rPr>
        <w:t>“Kvalitatīvas mācības”</w:t>
      </w:r>
      <w:r w:rsidR="007E2265">
        <w:rPr>
          <w:rFonts w:ascii="Times New Roman" w:hAnsi="Times New Roman" w:cs="Times New Roman"/>
          <w:lang w:val="lv-LV"/>
        </w:rPr>
        <w:t>, “Iekļaujoša vide” un “Laba pārvaldība”</w:t>
      </w:r>
      <w:r w:rsidR="00C901EC">
        <w:rPr>
          <w:rFonts w:ascii="Times New Roman" w:hAnsi="Times New Roman" w:cs="Times New Roman"/>
          <w:lang w:val="lv-LV"/>
        </w:rPr>
        <w:t xml:space="preserve"> kvalitātes līmenis ir “</w:t>
      </w:r>
      <w:r w:rsidR="007E2265">
        <w:rPr>
          <w:rFonts w:ascii="Times New Roman" w:hAnsi="Times New Roman" w:cs="Times New Roman"/>
          <w:lang w:val="lv-LV"/>
        </w:rPr>
        <w:t>l</w:t>
      </w:r>
      <w:r w:rsidR="00C901EC">
        <w:rPr>
          <w:rFonts w:ascii="Times New Roman" w:hAnsi="Times New Roman" w:cs="Times New Roman"/>
          <w:lang w:val="lv-LV"/>
        </w:rPr>
        <w:t>abi”</w:t>
      </w:r>
      <w:r w:rsidR="007E2265">
        <w:rPr>
          <w:rStyle w:val="Vresatsauce"/>
          <w:rFonts w:ascii="Times New Roman" w:hAnsi="Times New Roman" w:cs="Times New Roman"/>
          <w:lang w:val="lv-LV"/>
        </w:rPr>
        <w:footnoteReference w:id="1"/>
      </w:r>
      <w:r w:rsidR="007E2265">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sidR="006623C8">
        <w:rPr>
          <w:rFonts w:ascii="Times New Roman" w:hAnsi="Times New Roman" w:cs="Times New Roman"/>
          <w:lang w:val="lv-LV"/>
        </w:rPr>
        <w:t xml:space="preserve">skola iegulda optimālu darbu </w:t>
      </w:r>
      <w:r w:rsidR="007E2265">
        <w:rPr>
          <w:rFonts w:ascii="Times New Roman" w:hAnsi="Times New Roman" w:cs="Times New Roman"/>
          <w:lang w:val="lv-LV"/>
        </w:rPr>
        <w:t>nepieciešamo pārmaiņu ieviešan</w:t>
      </w:r>
      <w:r w:rsidR="006623C8">
        <w:rPr>
          <w:rFonts w:ascii="Times New Roman" w:hAnsi="Times New Roman" w:cs="Times New Roman"/>
          <w:lang w:val="lv-LV"/>
        </w:rPr>
        <w:t>ā:</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09955DEC" w:rsidR="00102A43" w:rsidRPr="002B432E" w:rsidRDefault="006623C8"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7C35119E" w:rsidR="00102A43" w:rsidRPr="002B432E" w:rsidRDefault="006623C8"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7F9F5B5B" w:rsidR="00102A43"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7C0828A2" w:rsidR="007E2265"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7E2265">
              <w:rPr>
                <w:rFonts w:ascii="Times New Roman" w:hAnsi="Times New Roman" w:cs="Times New Roman"/>
                <w:b/>
                <w:bCs/>
                <w:lang w:val="lv-LV"/>
              </w:rPr>
              <w:t>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0F5C44A8" w:rsidR="008A6B61" w:rsidRPr="003C3AB7" w:rsidRDefault="00081C9D"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Zantes pamatskolas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rPr>
        <w:t>skolas ilggadējā pieredze krīzes ģimenē piedzīvojušo skolēnu un skolēnu no audžuģimenēm integrācijā skolas vidē un mācību darbā, kā arī individualizēta pieeja akadēmisko zināšanu uzlabošanai gan šiem, gan visiem pārējiem skolēniem, veicinot skolēnu sociāli emocionālo mācīšanos.</w:t>
      </w:r>
    </w:p>
    <w:p w14:paraId="4DA56E8F" w14:textId="7CABB718" w:rsidR="00B270E2" w:rsidRPr="00517AF8" w:rsidRDefault="00081C9D"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Zantes pamatskolā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tiek </w:t>
      </w:r>
      <w:r w:rsidR="006623C8">
        <w:rPr>
          <w:rFonts w:ascii="Times New Roman" w:eastAsia="Times New Roman" w:hAnsi="Times New Roman" w:cs="Times New Roman"/>
          <w:lang w:val="lv-LV"/>
        </w:rPr>
        <w:t>īstenots kvalitatīvs izglītības process, veikta izglītojamo vērtēšana un notiek sadarbība starp skolēniem, skolotājiem un skolas vadību. Skola realizē iekļaujošu izglītību un vērotajās mācību stundās redzama mācību darba diferenciācija.</w:t>
      </w:r>
    </w:p>
    <w:p w14:paraId="0792BB36" w14:textId="74BFFA5A"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valsts pārbaudes darbos. Tika secināts, ka pamatā vidējie sasniegumi ikdienas mācību procesā atbilst </w:t>
      </w:r>
      <w:r w:rsidRPr="00517AF8">
        <w:rPr>
          <w:rFonts w:ascii="Times New Roman" w:eastAsia="Times New Roman" w:hAnsi="Times New Roman" w:cs="Times New Roman"/>
          <w:lang w:val="lv-LV"/>
        </w:rPr>
        <w:t xml:space="preserve">valsts pārbaudes darbos iegūtajiem rezultātiem – </w:t>
      </w:r>
      <w:r w:rsidR="00FD6D02">
        <w:rPr>
          <w:rFonts w:ascii="Times New Roman" w:eastAsia="Times New Roman" w:hAnsi="Times New Roman" w:cs="Times New Roman"/>
          <w:lang w:val="lv-LV"/>
        </w:rPr>
        <w:t xml:space="preserve">pamatizglītības posmā </w:t>
      </w:r>
      <w:r w:rsidR="00081C9D">
        <w:rPr>
          <w:rFonts w:ascii="Times New Roman" w:eastAsia="Times New Roman" w:hAnsi="Times New Roman" w:cs="Times New Roman"/>
          <w:lang w:val="lv-LV"/>
        </w:rPr>
        <w:t>72</w:t>
      </w:r>
      <w:r w:rsidR="00FD6D02">
        <w:rPr>
          <w:rFonts w:ascii="Times New Roman" w:eastAsia="Times New Roman" w:hAnsi="Times New Roman" w:cs="Times New Roman"/>
          <w:lang w:val="lv-LV"/>
        </w:rPr>
        <w:t xml:space="preserve">% skolēnu ikdienas procesā sasniedz </w:t>
      </w:r>
      <w:r w:rsidR="00081C9D">
        <w:rPr>
          <w:rFonts w:ascii="Times New Roman" w:eastAsia="Times New Roman" w:hAnsi="Times New Roman" w:cs="Times New Roman"/>
          <w:lang w:val="lv-LV"/>
        </w:rPr>
        <w:t>optimālus</w:t>
      </w:r>
      <w:r w:rsidR="00FD6D02">
        <w:rPr>
          <w:rFonts w:ascii="Times New Roman" w:eastAsia="Times New Roman" w:hAnsi="Times New Roman" w:cs="Times New Roman"/>
          <w:lang w:val="lv-LV"/>
        </w:rPr>
        <w:t xml:space="preserve"> mācību rezultātus (vidēji </w:t>
      </w:r>
      <w:r w:rsidR="00081C9D">
        <w:rPr>
          <w:rFonts w:ascii="Times New Roman" w:eastAsia="Times New Roman" w:hAnsi="Times New Roman" w:cs="Times New Roman"/>
          <w:lang w:val="lv-LV"/>
        </w:rPr>
        <w:t>5-</w:t>
      </w:r>
      <w:r w:rsidR="00FD6D02">
        <w:rPr>
          <w:rFonts w:ascii="Times New Roman" w:eastAsia="Times New Roman" w:hAnsi="Times New Roman" w:cs="Times New Roman"/>
          <w:lang w:val="lv-LV"/>
        </w:rPr>
        <w:t>7 balles un augstāk</w:t>
      </w:r>
      <w:r w:rsidR="00081C9D">
        <w:rPr>
          <w:rFonts w:ascii="Times New Roman" w:eastAsia="Times New Roman" w:hAnsi="Times New Roman" w:cs="Times New Roman"/>
          <w:lang w:val="lv-LV"/>
        </w:rPr>
        <w:t xml:space="preserve">). </w:t>
      </w:r>
      <w:r w:rsidR="00FD6D02">
        <w:rPr>
          <w:rFonts w:ascii="Times New Roman" w:eastAsia="Times New Roman" w:hAnsi="Times New Roman" w:cs="Times New Roman"/>
          <w:lang w:val="lv-LV"/>
        </w:rPr>
        <w:t xml:space="preserve">Skolēnu vidējie statistiskie sasniegumi ikdienas mācību darbā atšķiras par +/- </w:t>
      </w:r>
      <w:r w:rsidR="00081C9D">
        <w:rPr>
          <w:rFonts w:ascii="Times New Roman" w:eastAsia="Times New Roman" w:hAnsi="Times New Roman" w:cs="Times New Roman"/>
          <w:lang w:val="lv-LV"/>
        </w:rPr>
        <w:t>6</w:t>
      </w:r>
      <w:r w:rsidR="00FD6D02">
        <w:rPr>
          <w:rFonts w:ascii="Times New Roman" w:eastAsia="Times New Roman" w:hAnsi="Times New Roman" w:cs="Times New Roman"/>
          <w:lang w:val="lv-LV"/>
        </w:rPr>
        <w:t xml:space="preserve">% no valsts pārbaudes darbos iegūtajiem rezultātiem pēdējo divu mācību gadu laikā. </w:t>
      </w:r>
      <w:r w:rsidRPr="00517AF8">
        <w:rPr>
          <w:rFonts w:ascii="Times New Roman" w:eastAsia="Times New Roman" w:hAnsi="Times New Roman" w:cs="Times New Roman"/>
          <w:lang w:val="lv-LV"/>
        </w:rPr>
        <w:t xml:space="preserve">Lai sasniegtu </w:t>
      </w:r>
      <w:r w:rsidR="00FD6D02">
        <w:rPr>
          <w:rFonts w:ascii="Times New Roman" w:eastAsia="Times New Roman" w:hAnsi="Times New Roman" w:cs="Times New Roman"/>
          <w:lang w:val="lv-LV"/>
        </w:rPr>
        <w:t xml:space="preserve">vēl </w:t>
      </w:r>
      <w:r w:rsidRPr="00517AF8">
        <w:rPr>
          <w:rFonts w:ascii="Times New Roman" w:eastAsia="Times New Roman" w:hAnsi="Times New Roman" w:cs="Times New Roman"/>
          <w:lang w:val="lv-LV"/>
        </w:rPr>
        <w:t>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akreditācijas ekspertu komisija ieteica skolai </w:t>
      </w:r>
      <w:r w:rsidR="00FD6D02">
        <w:rPr>
          <w:rFonts w:ascii="Times New Roman" w:eastAsia="Times New Roman" w:hAnsi="Times New Roman" w:cs="Times New Roman"/>
          <w:lang w:val="lv-LV"/>
        </w:rPr>
        <w:t>piln</w:t>
      </w:r>
      <w:r w:rsidR="008F4567">
        <w:rPr>
          <w:rFonts w:ascii="Times New Roman" w:eastAsia="Times New Roman" w:hAnsi="Times New Roman" w:cs="Times New Roman"/>
          <w:lang w:val="lv-LV"/>
        </w:rPr>
        <w:t xml:space="preserve">veidot </w:t>
      </w:r>
      <w:r w:rsidR="00FD6D02">
        <w:rPr>
          <w:rFonts w:ascii="Times New Roman" w:eastAsia="Times New Roman" w:hAnsi="Times New Roman" w:cs="Times New Roman"/>
          <w:lang w:val="lv-LV"/>
        </w:rPr>
        <w:t>skolas “Vērtēšanas kārtīb</w:t>
      </w:r>
      <w:r w:rsidR="00F519A7">
        <w:rPr>
          <w:rFonts w:ascii="Times New Roman" w:eastAsia="Times New Roman" w:hAnsi="Times New Roman" w:cs="Times New Roman"/>
          <w:lang w:val="lv-LV"/>
        </w:rPr>
        <w:t>u</w:t>
      </w:r>
      <w:r w:rsidR="00FD6D02">
        <w:rPr>
          <w:rFonts w:ascii="Times New Roman" w:eastAsia="Times New Roman" w:hAnsi="Times New Roman" w:cs="Times New Roman"/>
          <w:lang w:val="lv-LV"/>
        </w:rPr>
        <w:t>”</w:t>
      </w:r>
      <w:r w:rsidR="00081C9D">
        <w:rPr>
          <w:rFonts w:ascii="Times New Roman" w:eastAsia="Times New Roman" w:hAnsi="Times New Roman" w:cs="Times New Roman"/>
          <w:lang w:val="lv-LV"/>
        </w:rPr>
        <w:t>, paredzot konsekvences ievērošanu vienādas p</w:t>
      </w:r>
      <w:r w:rsidR="007659B3">
        <w:rPr>
          <w:rFonts w:ascii="Times New Roman" w:eastAsia="Times New Roman" w:hAnsi="Times New Roman" w:cs="Times New Roman"/>
          <w:lang w:val="lv-LV"/>
        </w:rPr>
        <w:t>ie</w:t>
      </w:r>
      <w:r w:rsidR="00081C9D">
        <w:rPr>
          <w:rFonts w:ascii="Times New Roman" w:eastAsia="Times New Roman" w:hAnsi="Times New Roman" w:cs="Times New Roman"/>
          <w:lang w:val="lv-LV"/>
        </w:rPr>
        <w:t>ejas principiem skolotājiem, izliekot semestra un gada vērtējumus mācību priekšmetos un papildinot formatīvās un summatīvās vērtēšanas savstarpējo saskaņotību un summatīvo darbu atbi</w:t>
      </w:r>
      <w:r w:rsidR="007659B3">
        <w:rPr>
          <w:rFonts w:ascii="Times New Roman" w:eastAsia="Times New Roman" w:hAnsi="Times New Roman" w:cs="Times New Roman"/>
          <w:lang w:val="lv-LV"/>
        </w:rPr>
        <w:t>ls</w:t>
      </w:r>
      <w:r w:rsidR="00081C9D">
        <w:rPr>
          <w:rFonts w:ascii="Times New Roman" w:eastAsia="Times New Roman" w:hAnsi="Times New Roman" w:cs="Times New Roman"/>
          <w:lang w:val="lv-LV"/>
        </w:rPr>
        <w:t>tību kompleksa snieguma vērtēšanai, kā ar</w:t>
      </w:r>
      <w:r w:rsidR="007659B3">
        <w:rPr>
          <w:rFonts w:ascii="Times New Roman" w:eastAsia="Times New Roman" w:hAnsi="Times New Roman" w:cs="Times New Roman"/>
          <w:lang w:val="lv-LV"/>
        </w:rPr>
        <w:t>ī</w:t>
      </w:r>
      <w:r w:rsidR="00081C9D">
        <w:rPr>
          <w:rFonts w:ascii="Times New Roman" w:eastAsia="Times New Roman" w:hAnsi="Times New Roman" w:cs="Times New Roman"/>
          <w:lang w:val="lv-LV"/>
        </w:rPr>
        <w:t xml:space="preserve"> pilnveidot skolotāju, skolēnu un vecāku izpratni par formatīvo vērt</w:t>
      </w:r>
      <w:r w:rsidR="007659B3">
        <w:rPr>
          <w:rFonts w:ascii="Times New Roman" w:eastAsia="Times New Roman" w:hAnsi="Times New Roman" w:cs="Times New Roman"/>
          <w:lang w:val="lv-LV"/>
        </w:rPr>
        <w:t>ē</w:t>
      </w:r>
      <w:r w:rsidR="00081C9D">
        <w:rPr>
          <w:rFonts w:ascii="Times New Roman" w:eastAsia="Times New Roman" w:hAnsi="Times New Roman" w:cs="Times New Roman"/>
          <w:lang w:val="lv-LV"/>
        </w:rPr>
        <w:t>šanu, tās mērķiem un veidiem, kā arī vērt</w:t>
      </w:r>
      <w:r w:rsidR="007659B3">
        <w:rPr>
          <w:rFonts w:ascii="Times New Roman" w:eastAsia="Times New Roman" w:hAnsi="Times New Roman" w:cs="Times New Roman"/>
          <w:lang w:val="lv-LV"/>
        </w:rPr>
        <w:t>ē</w:t>
      </w:r>
      <w:r w:rsidR="00081C9D">
        <w:rPr>
          <w:rFonts w:ascii="Times New Roman" w:eastAsia="Times New Roman" w:hAnsi="Times New Roman" w:cs="Times New Roman"/>
          <w:lang w:val="lv-LV"/>
        </w:rPr>
        <w:t>šanas p</w:t>
      </w:r>
      <w:r w:rsidR="007659B3">
        <w:rPr>
          <w:rFonts w:ascii="Times New Roman" w:eastAsia="Times New Roman" w:hAnsi="Times New Roman" w:cs="Times New Roman"/>
          <w:lang w:val="lv-LV"/>
        </w:rPr>
        <w:t>ie</w:t>
      </w:r>
      <w:r w:rsidR="00081C9D">
        <w:rPr>
          <w:rFonts w:ascii="Times New Roman" w:eastAsia="Times New Roman" w:hAnsi="Times New Roman" w:cs="Times New Roman"/>
          <w:lang w:val="lv-LV"/>
        </w:rPr>
        <w:t>ejas maiņu 2024./25.m.g.</w:t>
      </w:r>
    </w:p>
    <w:p w14:paraId="018ADFF2" w14:textId="0D4D59AA" w:rsidR="00220ABF" w:rsidRDefault="007659B3" w:rsidP="00F519A7">
      <w:pPr>
        <w:spacing w:after="0" w:line="240" w:lineRule="auto"/>
        <w:jc w:val="both"/>
        <w:rPr>
          <w:rFonts w:ascii="Times New Roman" w:eastAsia="Times New Roman" w:hAnsi="Times New Roman" w:cs="Times New Roman"/>
          <w:bCs/>
          <w:lang w:val="lv-LV" w:eastAsia="lv-LV"/>
        </w:rPr>
      </w:pPr>
      <w:r>
        <w:rPr>
          <w:rFonts w:ascii="Times New Roman" w:hAnsi="Times New Roman" w:cs="Times New Roman"/>
          <w:lang w:val="lv-LV"/>
        </w:rPr>
        <w:t>Zantes pamatskolas</w:t>
      </w:r>
      <w:r w:rsidR="00350FBF" w:rsidRPr="003C3AB7">
        <w:rPr>
          <w:rFonts w:ascii="Times New Roman" w:hAnsi="Times New Roman" w:cs="Times New Roman"/>
          <w:lang w:val="lv-LV"/>
        </w:rPr>
        <w:t xml:space="preserve"> direktores </w:t>
      </w:r>
      <w:r>
        <w:rPr>
          <w:rFonts w:ascii="Times New Roman" w:hAnsi="Times New Roman" w:cs="Times New Roman"/>
          <w:lang w:val="lv-LV"/>
        </w:rPr>
        <w:t>Kristīnes Elksnītes</w:t>
      </w:r>
      <w:r w:rsidR="00350FBF" w:rsidRPr="003C3AB7">
        <w:rPr>
          <w:rFonts w:ascii="Times New Roman" w:hAnsi="Times New Roman" w:cs="Times New Roman"/>
          <w:lang w:val="lv-LV"/>
        </w:rPr>
        <w:t xml:space="preserve"> profesionālā</w:t>
      </w:r>
      <w:r w:rsidR="00547CCD">
        <w:rPr>
          <w:rFonts w:ascii="Times New Roman" w:hAnsi="Times New Roman" w:cs="Times New Roman"/>
          <w:lang w:val="lv-LV"/>
        </w:rPr>
        <w:t>s</w:t>
      </w:r>
      <w:r w:rsidR="00350FBF" w:rsidRPr="003C3AB7">
        <w:rPr>
          <w:rFonts w:ascii="Times New Roman" w:hAnsi="Times New Roman" w:cs="Times New Roman"/>
          <w:lang w:val="lv-LV"/>
        </w:rPr>
        <w:t xml:space="preserve"> darbība</w:t>
      </w:r>
      <w:r w:rsidR="00547CCD">
        <w:rPr>
          <w:rFonts w:ascii="Times New Roman" w:hAnsi="Times New Roman" w:cs="Times New Roman"/>
          <w:lang w:val="lv-LV"/>
        </w:rPr>
        <w:t>s vērtējums jomā “Laba pārvaldība” ir novērtēts ar “</w:t>
      </w:r>
      <w:r w:rsidR="00F519A7">
        <w:rPr>
          <w:rFonts w:ascii="Times New Roman" w:hAnsi="Times New Roman" w:cs="Times New Roman"/>
          <w:lang w:val="lv-LV"/>
        </w:rPr>
        <w:t>L</w:t>
      </w:r>
      <w:r w:rsidR="00547CCD">
        <w:rPr>
          <w:rFonts w:ascii="Times New Roman" w:hAnsi="Times New Roman" w:cs="Times New Roman"/>
          <w:lang w:val="lv-LV"/>
        </w:rPr>
        <w:t>abi”. A</w:t>
      </w:r>
      <w:r w:rsidR="00350FBF" w:rsidRPr="003C3AB7">
        <w:rPr>
          <w:rFonts w:ascii="Times New Roman" w:hAnsi="Times New Roman" w:cs="Times New Roman"/>
          <w:lang w:val="lv-LV"/>
        </w:rPr>
        <w:t xml:space="preserve">kreditācijas ekspertu komisija </w:t>
      </w:r>
      <w:r w:rsidR="00C901EC" w:rsidRPr="003C3AB7">
        <w:rPr>
          <w:rFonts w:ascii="Times New Roman" w:hAnsi="Times New Roman" w:cs="Times New Roman"/>
          <w:lang w:val="lv-LV"/>
        </w:rPr>
        <w:t>novērtē</w:t>
      </w:r>
      <w:r w:rsidR="00350FBF" w:rsidRPr="003C3AB7">
        <w:rPr>
          <w:rFonts w:ascii="Times New Roman" w:hAnsi="Times New Roman" w:cs="Times New Roman"/>
          <w:lang w:val="lv-LV"/>
        </w:rPr>
        <w:t xml:space="preserve"> </w:t>
      </w:r>
      <w:r w:rsidR="00350FBF" w:rsidRPr="003C3AB7">
        <w:rPr>
          <w:rFonts w:ascii="Times New Roman" w:eastAsia="Times New Roman" w:hAnsi="Times New Roman" w:cs="Times New Roman"/>
          <w:bCs/>
          <w:lang w:val="lv-LV" w:eastAsia="lv-LV"/>
        </w:rPr>
        <w:t xml:space="preserve">direktores </w:t>
      </w:r>
      <w:r w:rsidR="00350FBF" w:rsidRPr="003C3AB7">
        <w:rPr>
          <w:rFonts w:ascii="Times New Roman" w:hAnsi="Times New Roman" w:cs="Times New Roman"/>
          <w:lang w:val="lv-LV"/>
        </w:rPr>
        <w:t xml:space="preserve">zināšanas par audzināšanas, mācīšanas un mācīšanās jautājumiem, kā arī </w:t>
      </w:r>
      <w:r w:rsidR="00C901EC" w:rsidRPr="003C3AB7">
        <w:rPr>
          <w:rFonts w:ascii="Times New Roman" w:eastAsia="Times New Roman" w:hAnsi="Times New Roman" w:cs="Times New Roman"/>
          <w:bCs/>
          <w:lang w:val="lv-LV" w:eastAsia="lv-LV"/>
        </w:rPr>
        <w:t xml:space="preserve">ieguldījumu izglītības iestādes vides un iekšējās kultūras veidošanā, mērķtiecīgi un sistemātiski vadot kolektīvu un mācību darbu, reizē veicot audzināšanas darbu, radot priekšnoteikumus iekļaujošas </w:t>
      </w:r>
      <w:r w:rsidR="00C901EC" w:rsidRPr="003C3AB7">
        <w:rPr>
          <w:rFonts w:ascii="Times New Roman" w:eastAsia="Times New Roman" w:hAnsi="Times New Roman" w:cs="Times New Roman"/>
          <w:bCs/>
          <w:lang w:val="lv-LV" w:eastAsia="lv-LV"/>
        </w:rPr>
        <w:lastRenderedPageBreak/>
        <w:t xml:space="preserve">vides veidošanai un sniedzot atbalstu katra </w:t>
      </w:r>
      <w:r w:rsidR="00F519A7">
        <w:rPr>
          <w:rFonts w:ascii="Times New Roman" w:eastAsia="Times New Roman" w:hAnsi="Times New Roman" w:cs="Times New Roman"/>
          <w:bCs/>
          <w:lang w:val="lv-LV" w:eastAsia="lv-LV"/>
        </w:rPr>
        <w:t>skolēna</w:t>
      </w:r>
      <w:r w:rsidR="00C901EC" w:rsidRPr="003C3AB7">
        <w:rPr>
          <w:rFonts w:ascii="Times New Roman" w:eastAsia="Times New Roman" w:hAnsi="Times New Roman" w:cs="Times New Roman"/>
          <w:bCs/>
          <w:lang w:val="lv-LV" w:eastAsia="lv-LV"/>
        </w:rPr>
        <w:t xml:space="preserve"> izaugsmei.</w:t>
      </w:r>
      <w:r w:rsidR="00350FBF" w:rsidRPr="003C3AB7">
        <w:rPr>
          <w:rFonts w:ascii="Times New Roman" w:eastAsia="Times New Roman" w:hAnsi="Times New Roman" w:cs="Times New Roman"/>
          <w:bCs/>
          <w:lang w:val="lv-LV" w:eastAsia="lv-LV"/>
        </w:rPr>
        <w:t xml:space="preserve"> </w:t>
      </w:r>
      <w:r w:rsidR="00547CCD">
        <w:rPr>
          <w:rFonts w:ascii="Times New Roman" w:eastAsia="Times New Roman" w:hAnsi="Times New Roman" w:cs="Times New Roman"/>
          <w:bCs/>
          <w:lang w:val="lv-LV" w:eastAsia="lv-LV"/>
        </w:rPr>
        <w:t>Direktore, konsultējoties ar visām iesaistītajām pusēm, argumentēti un demokrātiski pieņem lēmumus, uzņemas atbildību, ir līdere kolektīvā</w:t>
      </w:r>
      <w:r w:rsidR="00F519A7">
        <w:rPr>
          <w:rFonts w:ascii="Times New Roman" w:eastAsia="Times New Roman" w:hAnsi="Times New Roman" w:cs="Times New Roman"/>
          <w:bCs/>
          <w:lang w:val="lv-LV" w:eastAsia="lv-LV"/>
        </w:rPr>
        <w:t>, veiksmīgi sadarbojas gan ar skolas dibinātāju, gan skolotājiem, gan skolēniem un vecākiem.</w:t>
      </w:r>
      <w:r>
        <w:rPr>
          <w:rFonts w:ascii="Times New Roman" w:eastAsia="Times New Roman" w:hAnsi="Times New Roman" w:cs="Times New Roman"/>
          <w:bCs/>
          <w:lang w:val="lv-LV" w:eastAsia="lv-LV"/>
        </w:rPr>
        <w:t xml:space="preserve"> Direktore</w:t>
      </w:r>
      <w:r w:rsidR="00180DC2">
        <w:rPr>
          <w:rFonts w:ascii="Times New Roman" w:eastAsia="Times New Roman" w:hAnsi="Times New Roman" w:cs="Times New Roman"/>
          <w:bCs/>
          <w:lang w:val="lv-LV" w:eastAsia="lv-LV"/>
        </w:rPr>
        <w:t xml:space="preserve">s </w:t>
      </w:r>
      <w:r>
        <w:rPr>
          <w:rFonts w:ascii="Times New Roman" w:eastAsia="Times New Roman" w:hAnsi="Times New Roman" w:cs="Times New Roman"/>
          <w:bCs/>
          <w:lang w:val="lv-LV" w:eastAsia="lv-LV"/>
        </w:rPr>
        <w:t>komunikācijas prasmes izceļ visu iesaistīto mērķgrupu dalībnieki</w:t>
      </w:r>
      <w:r w:rsidR="00180DC2">
        <w:rPr>
          <w:rFonts w:ascii="Times New Roman" w:eastAsia="Times New Roman" w:hAnsi="Times New Roman" w:cs="Times New Roman"/>
          <w:bCs/>
          <w:lang w:val="lv-LV" w:eastAsia="lv-LV"/>
        </w:rPr>
        <w:t>.</w:t>
      </w:r>
    </w:p>
    <w:p w14:paraId="52A26215" w14:textId="77777777" w:rsidR="00F519A7" w:rsidRPr="00517AF8" w:rsidRDefault="00F519A7" w:rsidP="00F519A7">
      <w:pPr>
        <w:spacing w:after="0" w:line="240" w:lineRule="auto"/>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24978637" w:rsidR="00455C9B" w:rsidRPr="00517AF8" w:rsidRDefault="00C903A8"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eastAsia="lv-LV"/>
        </w:rPr>
        <w:t>1</w:t>
      </w:r>
      <w:r w:rsidR="007659B3">
        <w:rPr>
          <w:rFonts w:ascii="Times New Roman" w:eastAsia="Times New Roman" w:hAnsi="Times New Roman" w:cs="Times New Roman"/>
          <w:lang w:val="lv-LV" w:eastAsia="lv-LV"/>
        </w:rPr>
        <w:t>1</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1B47089B"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apskate kopā ar </w:t>
      </w:r>
      <w:r>
        <w:rPr>
          <w:rFonts w:ascii="Times New Roman" w:eastAsia="Times New Roman" w:hAnsi="Times New Roman" w:cs="Times New Roman"/>
          <w:lang w:val="lv-LV"/>
        </w:rPr>
        <w:t>skolēnu</w:t>
      </w:r>
      <w:r w:rsidR="00455C9B" w:rsidRPr="00517AF8">
        <w:rPr>
          <w:rFonts w:ascii="Times New Roman" w:eastAsia="Times New Roman" w:hAnsi="Times New Roman" w:cs="Times New Roman"/>
          <w:lang w:val="lv-LV"/>
        </w:rPr>
        <w:t xml:space="preserve"> pārstāv</w:t>
      </w:r>
      <w:r w:rsidR="00C903A8" w:rsidRPr="00517AF8">
        <w:rPr>
          <w:rFonts w:ascii="Times New Roman" w:eastAsia="Times New Roman" w:hAnsi="Times New Roman" w:cs="Times New Roman"/>
          <w:lang w:val="lv-LV"/>
        </w:rPr>
        <w:t>jiem</w:t>
      </w:r>
      <w:r w:rsidR="00455C9B" w:rsidRPr="00517AF8">
        <w:rPr>
          <w:rFonts w:ascii="Times New Roman" w:eastAsia="Times New Roman" w:hAnsi="Times New Roman" w:cs="Times New Roman"/>
          <w:lang w:val="lv-LV"/>
        </w:rPr>
        <w:t>.</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57AB8" w14:textId="77777777" w:rsidR="00086682" w:rsidRDefault="00086682" w:rsidP="00325453">
      <w:pPr>
        <w:spacing w:after="0" w:line="240" w:lineRule="auto"/>
      </w:pPr>
      <w:r>
        <w:separator/>
      </w:r>
    </w:p>
  </w:endnote>
  <w:endnote w:type="continuationSeparator" w:id="0">
    <w:p w14:paraId="6429AA98" w14:textId="77777777" w:rsidR="00086682" w:rsidRDefault="00086682"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06FB6" w14:textId="77777777" w:rsidR="00086682" w:rsidRDefault="00086682" w:rsidP="00325453">
      <w:pPr>
        <w:spacing w:after="0" w:line="240" w:lineRule="auto"/>
      </w:pPr>
      <w:r>
        <w:separator/>
      </w:r>
    </w:p>
  </w:footnote>
  <w:footnote w:type="continuationSeparator" w:id="0">
    <w:p w14:paraId="3281E328" w14:textId="77777777" w:rsidR="00086682" w:rsidRDefault="00086682"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81C9D"/>
    <w:rsid w:val="00086682"/>
    <w:rsid w:val="0009341F"/>
    <w:rsid w:val="000B0E3E"/>
    <w:rsid w:val="000B19DD"/>
    <w:rsid w:val="000B30C6"/>
    <w:rsid w:val="000C4985"/>
    <w:rsid w:val="000D4B33"/>
    <w:rsid w:val="000D5342"/>
    <w:rsid w:val="000D61E6"/>
    <w:rsid w:val="000E3EC9"/>
    <w:rsid w:val="000F1A6C"/>
    <w:rsid w:val="00102A43"/>
    <w:rsid w:val="00107CA5"/>
    <w:rsid w:val="00110FAA"/>
    <w:rsid w:val="001128F0"/>
    <w:rsid w:val="00120CE2"/>
    <w:rsid w:val="00131C9D"/>
    <w:rsid w:val="00132A84"/>
    <w:rsid w:val="001414AF"/>
    <w:rsid w:val="001474A7"/>
    <w:rsid w:val="001509E9"/>
    <w:rsid w:val="0017297E"/>
    <w:rsid w:val="00174A69"/>
    <w:rsid w:val="00180DC2"/>
    <w:rsid w:val="001834B2"/>
    <w:rsid w:val="001A12F4"/>
    <w:rsid w:val="001A1FA0"/>
    <w:rsid w:val="001B7073"/>
    <w:rsid w:val="001E2E4C"/>
    <w:rsid w:val="001F43B9"/>
    <w:rsid w:val="00211BD8"/>
    <w:rsid w:val="00217229"/>
    <w:rsid w:val="00220ABF"/>
    <w:rsid w:val="00226B8F"/>
    <w:rsid w:val="00231E85"/>
    <w:rsid w:val="00234346"/>
    <w:rsid w:val="00253760"/>
    <w:rsid w:val="0026002B"/>
    <w:rsid w:val="002627BB"/>
    <w:rsid w:val="002663CE"/>
    <w:rsid w:val="00272EA1"/>
    <w:rsid w:val="00281836"/>
    <w:rsid w:val="00290DA1"/>
    <w:rsid w:val="002914C2"/>
    <w:rsid w:val="00291ACE"/>
    <w:rsid w:val="00292EC2"/>
    <w:rsid w:val="002B432E"/>
    <w:rsid w:val="002B7543"/>
    <w:rsid w:val="002C0620"/>
    <w:rsid w:val="002D5C1C"/>
    <w:rsid w:val="002D789E"/>
    <w:rsid w:val="002F5A52"/>
    <w:rsid w:val="00325453"/>
    <w:rsid w:val="0032719D"/>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149"/>
    <w:rsid w:val="0049356A"/>
    <w:rsid w:val="0049766B"/>
    <w:rsid w:val="004D0C22"/>
    <w:rsid w:val="004E507F"/>
    <w:rsid w:val="00504D1F"/>
    <w:rsid w:val="00517AF8"/>
    <w:rsid w:val="005261F1"/>
    <w:rsid w:val="00547CCD"/>
    <w:rsid w:val="00554CC8"/>
    <w:rsid w:val="00570EF0"/>
    <w:rsid w:val="00575B7A"/>
    <w:rsid w:val="00583209"/>
    <w:rsid w:val="005A171C"/>
    <w:rsid w:val="005B02AA"/>
    <w:rsid w:val="005C0F6A"/>
    <w:rsid w:val="005C29EF"/>
    <w:rsid w:val="005D5E54"/>
    <w:rsid w:val="005E2795"/>
    <w:rsid w:val="00635818"/>
    <w:rsid w:val="00635F3A"/>
    <w:rsid w:val="00642698"/>
    <w:rsid w:val="00655012"/>
    <w:rsid w:val="00655772"/>
    <w:rsid w:val="006620D5"/>
    <w:rsid w:val="006623C8"/>
    <w:rsid w:val="00664E78"/>
    <w:rsid w:val="00667445"/>
    <w:rsid w:val="00677C50"/>
    <w:rsid w:val="00694734"/>
    <w:rsid w:val="00696B99"/>
    <w:rsid w:val="006A2D2D"/>
    <w:rsid w:val="006A3973"/>
    <w:rsid w:val="006C22C8"/>
    <w:rsid w:val="006C7A22"/>
    <w:rsid w:val="006D1D2C"/>
    <w:rsid w:val="006E4A7B"/>
    <w:rsid w:val="006E750D"/>
    <w:rsid w:val="006F5AE0"/>
    <w:rsid w:val="006F5D81"/>
    <w:rsid w:val="00707E7E"/>
    <w:rsid w:val="00712E83"/>
    <w:rsid w:val="00716C66"/>
    <w:rsid w:val="007220A7"/>
    <w:rsid w:val="00755CAD"/>
    <w:rsid w:val="00764E5A"/>
    <w:rsid w:val="007659B3"/>
    <w:rsid w:val="0077022B"/>
    <w:rsid w:val="007946C1"/>
    <w:rsid w:val="007A09BF"/>
    <w:rsid w:val="007A3FA9"/>
    <w:rsid w:val="007A5527"/>
    <w:rsid w:val="007A579A"/>
    <w:rsid w:val="007C0042"/>
    <w:rsid w:val="007C62F3"/>
    <w:rsid w:val="007D1633"/>
    <w:rsid w:val="007D17FE"/>
    <w:rsid w:val="007E1B6D"/>
    <w:rsid w:val="007E2265"/>
    <w:rsid w:val="007E3B19"/>
    <w:rsid w:val="007E58DD"/>
    <w:rsid w:val="007E5F25"/>
    <w:rsid w:val="00801C57"/>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8F4567"/>
    <w:rsid w:val="009041C3"/>
    <w:rsid w:val="009073B9"/>
    <w:rsid w:val="00914285"/>
    <w:rsid w:val="00920FA0"/>
    <w:rsid w:val="00954842"/>
    <w:rsid w:val="00955E8E"/>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6320F"/>
    <w:rsid w:val="00A638CF"/>
    <w:rsid w:val="00A70C34"/>
    <w:rsid w:val="00A71D15"/>
    <w:rsid w:val="00A80D2F"/>
    <w:rsid w:val="00A877F6"/>
    <w:rsid w:val="00AA3D87"/>
    <w:rsid w:val="00AB1413"/>
    <w:rsid w:val="00AD071E"/>
    <w:rsid w:val="00AD3F2C"/>
    <w:rsid w:val="00AD72E1"/>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632F1"/>
    <w:rsid w:val="00B812FE"/>
    <w:rsid w:val="00B83F6C"/>
    <w:rsid w:val="00B85AEA"/>
    <w:rsid w:val="00B90F9A"/>
    <w:rsid w:val="00B912D4"/>
    <w:rsid w:val="00BA0835"/>
    <w:rsid w:val="00BC3C09"/>
    <w:rsid w:val="00BC6210"/>
    <w:rsid w:val="00BC66F0"/>
    <w:rsid w:val="00BE2134"/>
    <w:rsid w:val="00BF6360"/>
    <w:rsid w:val="00BF70E3"/>
    <w:rsid w:val="00C309DE"/>
    <w:rsid w:val="00C40DE5"/>
    <w:rsid w:val="00C44858"/>
    <w:rsid w:val="00C466C6"/>
    <w:rsid w:val="00C55360"/>
    <w:rsid w:val="00C62D9A"/>
    <w:rsid w:val="00C67620"/>
    <w:rsid w:val="00C75493"/>
    <w:rsid w:val="00C7559B"/>
    <w:rsid w:val="00C83DB3"/>
    <w:rsid w:val="00C901EC"/>
    <w:rsid w:val="00C903A8"/>
    <w:rsid w:val="00C9331D"/>
    <w:rsid w:val="00CB18D2"/>
    <w:rsid w:val="00CB43B3"/>
    <w:rsid w:val="00CD6493"/>
    <w:rsid w:val="00CE0D96"/>
    <w:rsid w:val="00CE2C92"/>
    <w:rsid w:val="00CE2E74"/>
    <w:rsid w:val="00D10633"/>
    <w:rsid w:val="00D11F8D"/>
    <w:rsid w:val="00D20617"/>
    <w:rsid w:val="00D23E99"/>
    <w:rsid w:val="00D245EC"/>
    <w:rsid w:val="00D30CE8"/>
    <w:rsid w:val="00D3299C"/>
    <w:rsid w:val="00D66766"/>
    <w:rsid w:val="00D66A77"/>
    <w:rsid w:val="00D714EE"/>
    <w:rsid w:val="00D85FC1"/>
    <w:rsid w:val="00D87909"/>
    <w:rsid w:val="00DA3298"/>
    <w:rsid w:val="00DB2F5C"/>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519A7"/>
    <w:rsid w:val="00F6246C"/>
    <w:rsid w:val="00F710B8"/>
    <w:rsid w:val="00F76C5F"/>
    <w:rsid w:val="00FB4B45"/>
    <w:rsid w:val="00FD1080"/>
    <w:rsid w:val="00FD6D02"/>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2887</Words>
  <Characters>1647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2024-10-29T10:41:00Z</dcterms:created>
  <dcterms:modified xsi:type="dcterms:W3CDTF">2024-10-29T10:41:00Z</dcterms:modified>
</cp:coreProperties>
</file>